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6E" w:rsidRPr="0049692E" w:rsidRDefault="002A116E" w:rsidP="002A116E">
      <w:pPr>
        <w:jc w:val="center"/>
        <w:rPr>
          <w:b/>
          <w:sz w:val="28"/>
          <w:szCs w:val="28"/>
          <w:lang w:val="uk-UA"/>
        </w:rPr>
      </w:pPr>
      <w:r w:rsidRPr="0049692E">
        <w:rPr>
          <w:b/>
          <w:sz w:val="28"/>
          <w:szCs w:val="28"/>
          <w:lang w:val="uk-UA"/>
        </w:rPr>
        <w:t xml:space="preserve">ПРОФІЛЬ ПОСАДИ </w:t>
      </w:r>
    </w:p>
    <w:p w:rsidR="004453D5" w:rsidRPr="00634D0D" w:rsidRDefault="002A116E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 xml:space="preserve">«Заступник </w:t>
      </w:r>
      <w:r w:rsidR="004453D5" w:rsidRPr="00634D0D">
        <w:rPr>
          <w:b/>
          <w:sz w:val="28"/>
          <w:szCs w:val="28"/>
          <w:lang w:val="uk-UA"/>
        </w:rPr>
        <w:t>К</w:t>
      </w:r>
      <w:r w:rsidRPr="00634D0D">
        <w:rPr>
          <w:b/>
          <w:sz w:val="28"/>
          <w:szCs w:val="28"/>
          <w:lang w:val="uk-UA"/>
        </w:rPr>
        <w:t xml:space="preserve">ерівника </w:t>
      </w:r>
      <w:r w:rsidR="004453D5" w:rsidRPr="00634D0D">
        <w:rPr>
          <w:b/>
          <w:sz w:val="28"/>
          <w:szCs w:val="28"/>
          <w:lang w:val="uk-UA"/>
        </w:rPr>
        <w:t xml:space="preserve">Другого </w:t>
      </w:r>
      <w:r w:rsidRPr="00634D0D">
        <w:rPr>
          <w:b/>
          <w:sz w:val="28"/>
          <w:szCs w:val="28"/>
          <w:lang w:val="uk-UA"/>
        </w:rPr>
        <w:t>Головного</w:t>
      </w:r>
    </w:p>
    <w:p w:rsidR="002A116E" w:rsidRPr="00634D0D" w:rsidRDefault="004453D5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 xml:space="preserve">спеціального </w:t>
      </w:r>
      <w:r w:rsidR="002A116E" w:rsidRPr="00634D0D">
        <w:rPr>
          <w:b/>
          <w:sz w:val="28"/>
          <w:szCs w:val="28"/>
          <w:lang w:val="uk-UA"/>
        </w:rPr>
        <w:t>підрозділу детективів</w:t>
      </w:r>
      <w:r w:rsidRPr="00634D0D">
        <w:rPr>
          <w:b/>
          <w:sz w:val="28"/>
          <w:szCs w:val="28"/>
          <w:lang w:val="uk-UA"/>
        </w:rPr>
        <w:t xml:space="preserve"> (Д-2)</w:t>
      </w:r>
      <w:r w:rsidR="002A116E" w:rsidRPr="00634D0D">
        <w:rPr>
          <w:b/>
          <w:sz w:val="28"/>
          <w:szCs w:val="28"/>
          <w:lang w:val="uk-UA"/>
        </w:rPr>
        <w:t>»</w:t>
      </w:r>
    </w:p>
    <w:p w:rsidR="002A116E" w:rsidRPr="00634D0D" w:rsidRDefault="002A116E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2A116E" w:rsidRPr="002F6122" w:rsidRDefault="002A116E" w:rsidP="002A116E">
      <w:pPr>
        <w:jc w:val="center"/>
        <w:rPr>
          <w:i/>
          <w:lang w:val="uk-UA"/>
        </w:rPr>
      </w:pPr>
      <w:r w:rsidRPr="002F6122">
        <w:rPr>
          <w:i/>
          <w:sz w:val="28"/>
          <w:szCs w:val="28"/>
          <w:lang w:val="uk-UA"/>
        </w:rPr>
        <w:t>(з наданням робочого місця в м. Києві)</w:t>
      </w:r>
    </w:p>
    <w:p w:rsidR="002A116E" w:rsidRPr="00634D0D" w:rsidRDefault="002A116E" w:rsidP="002A116E">
      <w:pPr>
        <w:jc w:val="center"/>
        <w:rPr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0"/>
        <w:gridCol w:w="5174"/>
      </w:tblGrid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  <w:shd w:val="clear" w:color="auto" w:fill="auto"/>
          </w:tcPr>
          <w:p w:rsidR="00A20002" w:rsidRPr="00A20002" w:rsidRDefault="00A20002" w:rsidP="00A20002">
            <w:pPr>
              <w:pStyle w:val="21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0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  <w:p w:rsidR="00A20002" w:rsidRPr="00A20002" w:rsidRDefault="00A20002" w:rsidP="00A20002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002">
              <w:rPr>
                <w:rFonts w:ascii="Times New Roman" w:hAnsi="Times New Roman"/>
                <w:sz w:val="24"/>
                <w:szCs w:val="24"/>
                <w:lang w:val="uk-UA"/>
              </w:rPr>
              <w:t>Т. в. п. Директора Національного</w:t>
            </w:r>
          </w:p>
          <w:p w:rsidR="00A20002" w:rsidRPr="00A20002" w:rsidRDefault="00A20002" w:rsidP="00A20002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0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антикорупційного бюро </w:t>
            </w:r>
          </w:p>
          <w:p w:rsidR="002A116E" w:rsidRPr="00634D0D" w:rsidRDefault="00A20002" w:rsidP="00A20002">
            <w:pPr>
              <w:pStyle w:val="21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002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</w:t>
            </w:r>
            <w:r w:rsidRPr="00A200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Денис ГЮЛЬМАГОМЕДОВ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tcBorders>
              <w:top w:val="single" w:sz="4" w:space="0" w:color="auto"/>
            </w:tcBorders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4D0D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16E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3B5346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B534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bookmarkStart w:id="0" w:name="_GoBack"/>
            <w:bookmarkEnd w:id="0"/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634D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11FAF">
              <w:rPr>
                <w:rFonts w:ascii="Times New Roman" w:hAnsi="Times New Roman"/>
                <w:sz w:val="24"/>
                <w:szCs w:val="24"/>
                <w:lang w:val="uk-UA"/>
              </w:rPr>
              <w:t>червня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2F612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2A116E" w:rsidRDefault="002A116E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42747A" w:rsidRPr="00634D0D" w:rsidRDefault="0042747A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05"/>
        <w:gridCol w:w="5044"/>
      </w:tblGrid>
      <w:tr w:rsidR="00634D0D" w:rsidRPr="00634D0D" w:rsidTr="005B6BAA">
        <w:trPr>
          <w:trHeight w:hRule="exact" w:val="454"/>
        </w:trPr>
        <w:tc>
          <w:tcPr>
            <w:tcW w:w="696" w:type="dxa"/>
            <w:vAlign w:val="center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І.</w:t>
            </w:r>
          </w:p>
        </w:tc>
        <w:tc>
          <w:tcPr>
            <w:tcW w:w="8949" w:type="dxa"/>
            <w:gridSpan w:val="2"/>
            <w:vAlign w:val="center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ХАРАКТЕРИСТИКА ПОСАДИ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C6312" w:rsidRDefault="007A4FCB" w:rsidP="006C6312">
            <w:pPr>
              <w:pStyle w:val="af0"/>
              <w:numPr>
                <w:ilvl w:val="0"/>
                <w:numId w:val="34"/>
              </w:numPr>
              <w:ind w:left="283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2F6122">
            <w:pPr>
              <w:rPr>
                <w:lang w:val="uk-UA"/>
              </w:rPr>
            </w:pPr>
            <w:r w:rsidRPr="00634D0D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Національне антикорупційне бюро України</w:t>
            </w:r>
          </w:p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(далі – Національне бюро)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4453D5" w:rsidRPr="006C6312" w:rsidRDefault="004453D5" w:rsidP="006C6312">
            <w:pPr>
              <w:pStyle w:val="af0"/>
              <w:numPr>
                <w:ilvl w:val="0"/>
                <w:numId w:val="34"/>
              </w:numPr>
              <w:ind w:left="283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5" w:type="dxa"/>
          </w:tcPr>
          <w:p w:rsidR="004453D5" w:rsidRPr="00634D0D" w:rsidRDefault="004453D5" w:rsidP="002F6122">
            <w:pPr>
              <w:rPr>
                <w:lang w:val="uk-UA"/>
              </w:rPr>
            </w:pPr>
            <w:r w:rsidRPr="00634D0D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44" w:type="dxa"/>
          </w:tcPr>
          <w:p w:rsidR="004453D5" w:rsidRPr="00634D0D" w:rsidRDefault="004453D5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Другий Головний спеціальний підрозділ детективів (Д-2)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C6312" w:rsidRDefault="007A4FCB" w:rsidP="006C6312">
            <w:pPr>
              <w:pStyle w:val="af0"/>
              <w:numPr>
                <w:ilvl w:val="0"/>
                <w:numId w:val="34"/>
              </w:numPr>
              <w:ind w:left="283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Найменування посади</w:t>
            </w:r>
          </w:p>
        </w:tc>
        <w:tc>
          <w:tcPr>
            <w:tcW w:w="5044" w:type="dxa"/>
          </w:tcPr>
          <w:p w:rsidR="007A4FCB" w:rsidRPr="00634D0D" w:rsidRDefault="007A4FCB" w:rsidP="004453D5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Заступник </w:t>
            </w:r>
            <w:r w:rsidR="004453D5" w:rsidRPr="00634D0D">
              <w:rPr>
                <w:lang w:val="uk-UA"/>
              </w:rPr>
              <w:t>К</w:t>
            </w:r>
            <w:r w:rsidRPr="00634D0D">
              <w:rPr>
                <w:lang w:val="uk-UA"/>
              </w:rPr>
              <w:t xml:space="preserve">ерівника </w:t>
            </w:r>
            <w:r w:rsidR="004453D5" w:rsidRPr="00634D0D">
              <w:rPr>
                <w:lang w:val="uk-UA"/>
              </w:rPr>
              <w:t xml:space="preserve">Другого </w:t>
            </w:r>
            <w:r w:rsidRPr="00634D0D">
              <w:rPr>
                <w:lang w:val="uk-UA"/>
              </w:rPr>
              <w:t xml:space="preserve">Головного </w:t>
            </w:r>
            <w:r w:rsidR="004453D5" w:rsidRPr="00634D0D">
              <w:rPr>
                <w:lang w:val="uk-UA"/>
              </w:rPr>
              <w:t xml:space="preserve">спеціального </w:t>
            </w:r>
            <w:r w:rsidRPr="00634D0D">
              <w:rPr>
                <w:lang w:val="uk-UA"/>
              </w:rPr>
              <w:t>підрозділу детективів</w:t>
            </w:r>
            <w:r w:rsidR="004453D5" w:rsidRPr="00634D0D">
              <w:rPr>
                <w:lang w:val="uk-UA"/>
              </w:rPr>
              <w:t xml:space="preserve"> (Д-2)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C6312" w:rsidRDefault="007A4FCB" w:rsidP="006C6312">
            <w:pPr>
              <w:pStyle w:val="af0"/>
              <w:numPr>
                <w:ilvl w:val="0"/>
                <w:numId w:val="34"/>
              </w:numPr>
              <w:ind w:left="283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Категорія посади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634D0D" w:rsidRPr="003B5346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C6312" w:rsidRDefault="007A4FCB" w:rsidP="006C6312">
            <w:pPr>
              <w:pStyle w:val="af0"/>
              <w:numPr>
                <w:ilvl w:val="0"/>
                <w:numId w:val="34"/>
              </w:numPr>
              <w:ind w:left="283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7A4FCB">
            <w:pPr>
              <w:rPr>
                <w:caps/>
                <w:lang w:val="uk-UA"/>
              </w:rPr>
            </w:pPr>
            <w:r w:rsidRPr="00634D0D">
              <w:rPr>
                <w:lang w:val="uk-UA"/>
              </w:rPr>
              <w:t>Мета посади</w:t>
            </w:r>
          </w:p>
        </w:tc>
        <w:tc>
          <w:tcPr>
            <w:tcW w:w="5044" w:type="dxa"/>
          </w:tcPr>
          <w:p w:rsidR="00FB1BB8" w:rsidRDefault="00F91830" w:rsidP="007A4F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о</w:t>
            </w:r>
            <w:r w:rsidR="00FB1BB8" w:rsidRPr="00FB1BB8">
              <w:rPr>
                <w:lang w:val="uk-UA"/>
              </w:rPr>
              <w:t xml:space="preserve">рганізація побудови системи заходів щодо </w:t>
            </w:r>
            <w:proofErr w:type="spellStart"/>
            <w:r w:rsidR="00FB1BB8" w:rsidRPr="00FB1BB8">
              <w:rPr>
                <w:lang w:val="uk-UA"/>
              </w:rPr>
              <w:t>безпекового</w:t>
            </w:r>
            <w:proofErr w:type="spellEnd"/>
            <w:r w:rsidR="00FB1BB8" w:rsidRPr="00FB1BB8">
              <w:rPr>
                <w:lang w:val="uk-UA"/>
              </w:rPr>
              <w:t>,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>інтелектуального</w:t>
            </w:r>
            <w:r w:rsidR="00FB1BB8">
              <w:rPr>
                <w:lang w:val="uk-UA"/>
              </w:rPr>
              <w:t>,</w:t>
            </w:r>
            <w:r w:rsidR="00FB1BB8" w:rsidRPr="00FB1BB8">
              <w:rPr>
                <w:lang w:val="uk-UA"/>
              </w:rPr>
              <w:t xml:space="preserve"> фінансового,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 xml:space="preserve">матеріально-технічного </w:t>
            </w:r>
            <w:r w:rsidR="00FB1BB8">
              <w:rPr>
                <w:lang w:val="uk-UA"/>
              </w:rPr>
              <w:t xml:space="preserve">забезпечення </w:t>
            </w:r>
            <w:r w:rsidR="00FB1BB8" w:rsidRPr="00FB1BB8">
              <w:rPr>
                <w:lang w:val="uk-UA"/>
              </w:rPr>
              <w:t xml:space="preserve"> діяльності </w:t>
            </w:r>
            <w:r w:rsidR="00FB1BB8" w:rsidRPr="00634D0D">
              <w:rPr>
                <w:lang w:val="uk-UA"/>
              </w:rPr>
              <w:t>Другого Головного спеціального підрозділу детективів (Д-2)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>та її юридичного супроводу</w:t>
            </w:r>
            <w:r w:rsidR="00FB1BB8">
              <w:rPr>
                <w:lang w:val="uk-UA"/>
              </w:rPr>
              <w:t xml:space="preserve"> (далі – заходів забезпечення)</w:t>
            </w:r>
            <w:r>
              <w:rPr>
                <w:lang w:val="uk-UA"/>
              </w:rPr>
              <w:t>;</w:t>
            </w:r>
          </w:p>
          <w:p w:rsidR="00FB1BB8" w:rsidRPr="00634D0D" w:rsidRDefault="00F91830" w:rsidP="00F918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к</w:t>
            </w:r>
            <w:r w:rsidR="00FB1BB8" w:rsidRPr="00634D0D">
              <w:rPr>
                <w:lang w:val="uk-UA"/>
              </w:rPr>
              <w:t>оординація здійснення підрозділами Другого Головного спеціального підрозділу детективів (Д-2) заходів щодо добування інформації та фактичних даних про злочинну діяльність осіб, стосовно яких ведуться оперативно-розшукові справи чи здійснюються кримінальні провадження, шляхом здійснення окремих особливо складних оперативно-розшукових заходів та негласних слідчих дій</w:t>
            </w:r>
            <w:r>
              <w:rPr>
                <w:lang w:val="uk-UA"/>
              </w:rPr>
              <w:t>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C6312" w:rsidRDefault="007A4FCB" w:rsidP="006C6312">
            <w:pPr>
              <w:pStyle w:val="af0"/>
              <w:numPr>
                <w:ilvl w:val="0"/>
                <w:numId w:val="34"/>
              </w:numPr>
              <w:ind w:left="283" w:hanging="17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F91830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44" w:type="dxa"/>
          </w:tcPr>
          <w:p w:rsidR="00FB1BB8" w:rsidRPr="00A1233D" w:rsidRDefault="007A4FCB" w:rsidP="00FB1BB8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</w:t>
            </w:r>
            <w:r w:rsidR="00FB1BB8">
              <w:rPr>
                <w:rFonts w:ascii="Times New Roman" w:hAnsi="Times New Roman"/>
                <w:sz w:val="24"/>
                <w:szCs w:val="24"/>
              </w:rPr>
              <w:t xml:space="preserve">участь у розробці </w:t>
            </w:r>
            <w:r w:rsidR="00FB1BB8" w:rsidRPr="00FB1BB8">
              <w:rPr>
                <w:rFonts w:ascii="Times New Roman" w:hAnsi="Times New Roman"/>
                <w:sz w:val="24"/>
                <w:szCs w:val="24"/>
              </w:rPr>
              <w:t>заходів забезпечення</w:t>
            </w:r>
            <w:r w:rsidR="00FB1BB8">
              <w:rPr>
                <w:rFonts w:ascii="Times New Roman" w:hAnsi="Times New Roman"/>
                <w:sz w:val="24"/>
                <w:szCs w:val="24"/>
              </w:rPr>
              <w:t xml:space="preserve"> діяльності </w:t>
            </w:r>
            <w:r w:rsidR="00FB1BB8" w:rsidRPr="00A1233D">
              <w:rPr>
                <w:rFonts w:ascii="Times New Roman" w:hAnsi="Times New Roman"/>
                <w:sz w:val="24"/>
                <w:szCs w:val="24"/>
              </w:rPr>
              <w:t>Другого Головного спеціального підрозділу детективів (Д-2)</w:t>
            </w:r>
            <w:r w:rsidR="00A1233D">
              <w:rPr>
                <w:rFonts w:ascii="Times New Roman" w:hAnsi="Times New Roman"/>
                <w:sz w:val="24"/>
                <w:szCs w:val="24"/>
              </w:rPr>
              <w:t xml:space="preserve"> (далі – Підрозділ)</w:t>
            </w:r>
            <w:r w:rsidR="00FB1BB8"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1BB8" w:rsidRPr="00A1233D" w:rsidRDefault="00FB1BB8" w:rsidP="00FB1BB8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33D">
              <w:rPr>
                <w:rFonts w:ascii="Times New Roman" w:hAnsi="Times New Roman"/>
                <w:sz w:val="24"/>
                <w:szCs w:val="24"/>
              </w:rPr>
              <w:t>- </w:t>
            </w:r>
            <w:r w:rsidRPr="00FB1BB8">
              <w:rPr>
                <w:rFonts w:ascii="Times New Roman" w:hAnsi="Times New Roman"/>
                <w:sz w:val="24"/>
                <w:szCs w:val="24"/>
              </w:rPr>
              <w:t>планування заходів забезпечення, аналіз і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їх виконанням працівниками </w:t>
            </w:r>
            <w:r w:rsidR="00A1233D"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33D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вживає заходів по усуненню загроз та причин їх виникнення, що виникають під час здійснення діяльності </w:t>
            </w:r>
            <w:r>
              <w:rPr>
                <w:rFonts w:ascii="Times New Roman" w:hAnsi="Times New Roman"/>
                <w:sz w:val="24"/>
                <w:szCs w:val="24"/>
              </w:rPr>
              <w:t>підрозділом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33D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здійснює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інтелектуальний, інформаційний та логістичний супровід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окремих напрямів діяльності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Підрозділу;</w:t>
            </w:r>
          </w:p>
          <w:p w:rsidR="00F91830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к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онтролює стан службової, виконавчої</w:t>
            </w:r>
            <w:r w:rsidR="00F91830">
              <w:rPr>
                <w:rFonts w:ascii="Times New Roman" w:hAnsi="Times New Roman"/>
                <w:sz w:val="24"/>
                <w:szCs w:val="24"/>
              </w:rPr>
              <w:t xml:space="preserve">, фінансової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та автотранспортної дисципліни працівників </w:t>
            </w:r>
            <w:r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="00F918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4FCB" w:rsidRPr="00634D0D" w:rsidRDefault="00F91830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7A4FCB" w:rsidRPr="00634D0D">
              <w:rPr>
                <w:rFonts w:ascii="Times New Roman" w:hAnsi="Times New Roman"/>
                <w:sz w:val="24"/>
                <w:szCs w:val="24"/>
              </w:rPr>
              <w:t xml:space="preserve">участь у розробці окремих особливо складних оперативно-розшукових заходів та негласних слідчих дій; забезпечення взаємодії підрозділів </w:t>
            </w:r>
            <w:r w:rsidR="005B6BAA" w:rsidRPr="00634D0D">
              <w:rPr>
                <w:rFonts w:ascii="Times New Roman" w:hAnsi="Times New Roman"/>
                <w:sz w:val="24"/>
                <w:szCs w:val="24"/>
              </w:rPr>
              <w:t xml:space="preserve">Другого Головного спеціального підрозділу детективів (Д-2) </w:t>
            </w:r>
            <w:r w:rsidR="007A4FCB" w:rsidRPr="00634D0D">
              <w:rPr>
                <w:rFonts w:ascii="Times New Roman" w:hAnsi="Times New Roman"/>
                <w:sz w:val="24"/>
                <w:szCs w:val="24"/>
              </w:rPr>
              <w:t xml:space="preserve"> під час їх здійснення; 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дотримання правових підстав та запланованих строків виконання запланованих заходів;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забезпечення якості відбору та спеціальної підготовки працівників, спроможних виконувати окремі особливо складні оперативно-розшукові заходи та негласні слідчі дії; 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ефективності заходів щодо забезпечення безпеки працівників у зв’язку із виконанням ними окремих особливо складних оперативно-розшукових заходів та негласних слідчих дій;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забезпечення відповідності законодавству придбання та застосування матеріально-технічних об’єктів та використання грошових коштів під час здійснення окремих особливо складних оперативно-розшукових заходів та негласних слідчих дій;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за виконанням працівниками загально організаційних рішень керівництва, дотримання ними службової дисципліни;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участь у нормотворчої діяльності з питань, що відносяться до компетенції </w:t>
            </w:r>
            <w:r w:rsidR="00F91830"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Pr="00634D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внесення на розгляд пропозиції стосовно організації структури, кадрового забезпечення, підвищення кваліфікації персоналу,  впровадження стандартів, процедур та інших документів, які регламентують діяльність </w:t>
            </w:r>
            <w:r w:rsidR="00F91830">
              <w:rPr>
                <w:rFonts w:ascii="Times New Roman" w:hAnsi="Times New Roman"/>
                <w:sz w:val="24"/>
                <w:szCs w:val="24"/>
              </w:rPr>
              <w:t>П</w:t>
            </w:r>
            <w:r w:rsidRPr="00634D0D">
              <w:rPr>
                <w:rFonts w:ascii="Times New Roman" w:hAnsi="Times New Roman"/>
                <w:sz w:val="24"/>
                <w:szCs w:val="24"/>
              </w:rPr>
              <w:t>ідрозділу;</w:t>
            </w:r>
          </w:p>
          <w:p w:rsidR="00B53A4C" w:rsidRPr="00634D0D" w:rsidRDefault="007A4FCB" w:rsidP="0042747A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 - участь в організації та проведенні конкурсів на зайняття вакантних посад у Національному антикорупційному бюро України.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949" w:type="dxa"/>
            <w:gridSpan w:val="2"/>
          </w:tcPr>
          <w:p w:rsidR="007A4FCB" w:rsidRPr="00634D0D" w:rsidRDefault="007A4FCB" w:rsidP="00DC2DD9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КВАЛІФІКАЦІЙНІ ВИМОГИ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9645" w:type="dxa"/>
            <w:gridSpan w:val="3"/>
          </w:tcPr>
          <w:p w:rsidR="007A4FCB" w:rsidRPr="00634D0D" w:rsidRDefault="007A4FCB" w:rsidP="007A4FCB">
            <w:pPr>
              <w:numPr>
                <w:ilvl w:val="3"/>
                <w:numId w:val="33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634D0D">
              <w:rPr>
                <w:i/>
                <w:lang w:val="uk-UA"/>
              </w:rPr>
              <w:t>Загальні вимоги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vMerge w:val="restart"/>
          </w:tcPr>
          <w:p w:rsidR="007A4FCB" w:rsidRPr="00634D0D" w:rsidRDefault="007A4FCB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1.1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Освіта</w:t>
            </w:r>
          </w:p>
        </w:tc>
        <w:tc>
          <w:tcPr>
            <w:tcW w:w="5044" w:type="dxa"/>
          </w:tcPr>
          <w:p w:rsidR="007A4FCB" w:rsidRPr="00634D0D" w:rsidRDefault="007A4FCB" w:rsidP="007A4FCB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Вища 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vMerge/>
          </w:tcPr>
          <w:p w:rsidR="007A4FCB" w:rsidRPr="00634D0D" w:rsidRDefault="007A4FCB" w:rsidP="00DC2DD9">
            <w:pPr>
              <w:jc w:val="center"/>
              <w:rPr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Ступінь вищої освіти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Магістр (спеціаліст)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696" w:type="dxa"/>
          </w:tcPr>
          <w:p w:rsidR="007A4FCB" w:rsidRPr="00634D0D" w:rsidRDefault="007A4FCB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1.2</w:t>
            </w:r>
          </w:p>
        </w:tc>
        <w:tc>
          <w:tcPr>
            <w:tcW w:w="3905" w:type="dxa"/>
          </w:tcPr>
          <w:p w:rsidR="007A4FCB" w:rsidRPr="00634D0D" w:rsidRDefault="007A4FCB" w:rsidP="00A7240C">
            <w:pPr>
              <w:jc w:val="both"/>
              <w:rPr>
                <w:caps/>
              </w:rPr>
            </w:pPr>
            <w:r w:rsidRPr="00634D0D"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044" w:type="dxa"/>
          </w:tcPr>
          <w:p w:rsidR="007A4FCB" w:rsidRPr="00634D0D" w:rsidRDefault="00A7240C" w:rsidP="00080A42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Стаж роботи на посадах, пов'язаних із зді</w:t>
            </w:r>
            <w:r w:rsidR="00E81EBA">
              <w:rPr>
                <w:lang w:val="uk-UA"/>
              </w:rPr>
              <w:t xml:space="preserve">йсненням </w:t>
            </w:r>
            <w:r w:rsidR="00E31664">
              <w:rPr>
                <w:lang w:val="uk-UA"/>
              </w:rPr>
              <w:t>оперативно-розшукової</w:t>
            </w:r>
            <w:r w:rsidR="002853F0">
              <w:rPr>
                <w:lang w:val="uk-UA"/>
              </w:rPr>
              <w:t xml:space="preserve">, </w:t>
            </w:r>
            <w:r w:rsidRPr="00634D0D">
              <w:rPr>
                <w:lang w:val="uk-UA"/>
              </w:rPr>
              <w:t xml:space="preserve">розвідувальної та контррозвідувальної діяльності не </w:t>
            </w:r>
            <w:r w:rsidRPr="00634D0D">
              <w:rPr>
                <w:spacing w:val="-6"/>
                <w:lang w:val="uk-UA"/>
              </w:rPr>
              <w:t>менше 7 років, з них на керівних посадах –</w:t>
            </w:r>
            <w:r w:rsidRPr="00634D0D">
              <w:rPr>
                <w:lang w:val="uk-UA"/>
              </w:rPr>
              <w:t xml:space="preserve"> не менше </w:t>
            </w:r>
            <w:r w:rsidR="00080A42">
              <w:rPr>
                <w:lang w:val="uk-UA"/>
              </w:rPr>
              <w:t>1</w:t>
            </w:r>
            <w:r w:rsidRPr="00634D0D">
              <w:rPr>
                <w:lang w:val="uk-UA"/>
              </w:rPr>
              <w:t xml:space="preserve"> рок</w:t>
            </w:r>
            <w:r w:rsidR="00080A42">
              <w:rPr>
                <w:lang w:val="uk-UA"/>
              </w:rPr>
              <w:t>у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Del="00E7634A" w:rsidRDefault="007A4FCB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1.3</w:t>
            </w:r>
          </w:p>
        </w:tc>
        <w:tc>
          <w:tcPr>
            <w:tcW w:w="3905" w:type="dxa"/>
          </w:tcPr>
          <w:p w:rsidR="007A4FCB" w:rsidRPr="00634D0D" w:rsidDel="00E7634A" w:rsidRDefault="007A4FCB" w:rsidP="00A7240C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Володіння державною мовою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Вільне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7A4FCB" w:rsidP="00A7240C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</w:t>
            </w:r>
            <w:r w:rsidR="00A7240C" w:rsidRPr="00634D0D">
              <w:rPr>
                <w:caps/>
                <w:lang w:val="uk-UA"/>
              </w:rPr>
              <w:t>4</w:t>
            </w:r>
          </w:p>
        </w:tc>
        <w:tc>
          <w:tcPr>
            <w:tcW w:w="3905" w:type="dxa"/>
          </w:tcPr>
          <w:p w:rsidR="007A4FCB" w:rsidRPr="00634D0D" w:rsidRDefault="007A4FCB" w:rsidP="00A7240C">
            <w:pPr>
              <w:pStyle w:val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Безстрокове</w:t>
            </w:r>
          </w:p>
        </w:tc>
      </w:tr>
      <w:tr w:rsidR="00E31664" w:rsidRPr="00634D0D" w:rsidTr="00850F5E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</w:t>
            </w:r>
          </w:p>
        </w:tc>
        <w:tc>
          <w:tcPr>
            <w:tcW w:w="3905" w:type="dxa"/>
          </w:tcPr>
          <w:p w:rsidR="00E31664" w:rsidRPr="00971B47" w:rsidRDefault="00E31664" w:rsidP="00E31664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іноземними мовами</w:t>
            </w:r>
          </w:p>
        </w:tc>
        <w:tc>
          <w:tcPr>
            <w:tcW w:w="5044" w:type="dxa"/>
            <w:vAlign w:val="center"/>
          </w:tcPr>
          <w:p w:rsidR="00E31664" w:rsidRPr="00971B47" w:rsidRDefault="00E31664" w:rsidP="00E31664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>Знання іноземної мови</w:t>
            </w:r>
            <w:r>
              <w:rPr>
                <w:lang w:val="uk-UA"/>
              </w:rPr>
              <w:t xml:space="preserve"> (англійська)</w:t>
            </w:r>
            <w:r w:rsidRPr="00971B47">
              <w:rPr>
                <w:lang w:val="uk-UA"/>
              </w:rPr>
              <w:t xml:space="preserve"> є додатковою перевагою.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9645" w:type="dxa"/>
            <w:gridSpan w:val="3"/>
          </w:tcPr>
          <w:p w:rsidR="00E31664" w:rsidRPr="00634D0D" w:rsidRDefault="00E31664" w:rsidP="00E31664">
            <w:pPr>
              <w:numPr>
                <w:ilvl w:val="3"/>
                <w:numId w:val="33"/>
              </w:numPr>
              <w:tabs>
                <w:tab w:val="clear" w:pos="2520"/>
              </w:tabs>
              <w:ind w:left="720"/>
              <w:jc w:val="center"/>
              <w:rPr>
                <w:i/>
                <w:lang w:val="uk-UA"/>
              </w:rPr>
            </w:pPr>
            <w:r w:rsidRPr="00634D0D">
              <w:rPr>
                <w:i/>
                <w:lang w:val="uk-UA"/>
              </w:rPr>
              <w:t>Спеціальні вимоги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2.1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jc w:val="both"/>
              <w:rPr>
                <w:caps/>
                <w:lang w:val="uk-UA"/>
              </w:rPr>
            </w:pPr>
            <w:r w:rsidRPr="00634D0D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Бізнес, адміністрування та право (</w:t>
            </w:r>
            <w:r>
              <w:rPr>
                <w:lang w:val="uk-UA"/>
              </w:rPr>
              <w:t>спеціальність: «Право»</w:t>
            </w:r>
            <w:r w:rsidRPr="00634D0D">
              <w:rPr>
                <w:lang w:val="uk-UA"/>
              </w:rPr>
              <w:t>), Безпека та оборона (</w:t>
            </w:r>
            <w:r w:rsidRPr="00887E74">
              <w:rPr>
                <w:lang w:val="uk-UA"/>
              </w:rPr>
              <w:t>спеціальність: «Державна безпека»</w:t>
            </w:r>
            <w:r>
              <w:rPr>
                <w:lang w:val="uk-UA"/>
              </w:rPr>
              <w:t>,</w:t>
            </w:r>
            <w:r w:rsidRPr="00887E74">
              <w:rPr>
                <w:lang w:val="uk-UA"/>
              </w:rPr>
              <w:t xml:space="preserve"> «Правоохоронна діяльність»</w:t>
            </w:r>
            <w:r>
              <w:rPr>
                <w:lang w:val="uk-UA"/>
              </w:rPr>
              <w:t>, «Національна безпека»</w:t>
            </w:r>
            <w:r w:rsidRPr="00634D0D">
              <w:rPr>
                <w:lang w:val="uk-UA"/>
              </w:rPr>
              <w:t>)</w:t>
            </w:r>
          </w:p>
        </w:tc>
      </w:tr>
      <w:tr w:rsidR="00E31664" w:rsidRPr="003B5346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 w:rsidRPr="00634D0D">
              <w:rPr>
                <w:lang w:val="uk-UA"/>
              </w:rPr>
              <w:br w:type="page"/>
            </w:r>
            <w:r w:rsidRPr="00634D0D">
              <w:rPr>
                <w:lang w:val="uk-UA"/>
              </w:rPr>
              <w:br w:type="page"/>
            </w:r>
            <w:r w:rsidRPr="00634D0D">
              <w:rPr>
                <w:caps/>
                <w:lang w:val="uk-UA"/>
              </w:rPr>
              <w:t>2.2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Конституція України;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Національне антикорупційне бюро України»;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Кримінальний процесуальний кодекс України;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оперативно-розшукову діяльність»;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Кримінальний кодекс України;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державну таємницю»;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підзаконні відомчі нормативні акти у галузі технічного захисту інформації;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Дисциплінарний статут органів внутрішніх справ України.</w:t>
            </w:r>
          </w:p>
        </w:tc>
      </w:tr>
      <w:tr w:rsidR="00E31664" w:rsidRPr="003B5346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2.3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Професійні знання та вміння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методів збору та аналізу інформації, підготовки аналітичної документації;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всебічно вивчати ситуації, визначати, перевіряти та деталізувати проблеми у сфері боротьби з корупційними правопорушеннями;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уміння та навички організації проведення особливо складних оперативно-розшукових заходів та негласних слідчих дій;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високий рівень знань у сфері психології поведінки та управління;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базові компетенції проектного менеджера;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норм службової, професійної етики та загальних принципів службової поведінки державних службовців;</w:t>
            </w:r>
          </w:p>
          <w:p w:rsidR="00E31664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14B">
              <w:rPr>
                <w:rFonts w:ascii="Times New Roman" w:hAnsi="Times New Roman"/>
                <w:sz w:val="24"/>
                <w:szCs w:val="24"/>
              </w:rPr>
              <w:t>- </w:t>
            </w:r>
            <w:r w:rsidRPr="00A80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розвинуті навички використання </w:t>
            </w:r>
            <w:proofErr w:type="spellStart"/>
            <w:r w:rsidRPr="00E12E8F">
              <w:rPr>
                <w:rFonts w:ascii="Times New Roman" w:hAnsi="Times New Roman"/>
                <w:sz w:val="24"/>
                <w:szCs w:val="24"/>
              </w:rPr>
              <w:t>iOS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E8F">
              <w:rPr>
                <w:rFonts w:ascii="Times New Roman" w:hAnsi="Times New Roman"/>
                <w:sz w:val="24"/>
                <w:szCs w:val="24"/>
              </w:rPr>
              <w:t>iPadOS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79CF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79CF">
              <w:rPr>
                <w:rFonts w:ascii="Times New Roman" w:hAnsi="Times New Roman"/>
                <w:sz w:val="24"/>
                <w:szCs w:val="24"/>
              </w:rPr>
              <w:t>watchOS</w:t>
            </w:r>
            <w:proofErr w:type="spellEnd"/>
            <w:r w:rsidRPr="00A80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12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комп’ютерної техніки та програмного забезпечення, впевнені знання досвідченого користувача MS Word, MS Excel.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2.4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 xml:space="preserve">Лідерство 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високий розвиток організаторських та лідерських якостей;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організовувати та планувати роботу;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здатність забезпечувати координацію командної роботи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делегувати повноваження підлеглим;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обґрунтовувати власну позицію;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орієнтуватися на досягнення кінцевих результатів;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34D0D">
              <w:rPr>
                <w:rFonts w:ascii="Times New Roman" w:hAnsi="Times New Roman"/>
                <w:sz w:val="24"/>
                <w:szCs w:val="24"/>
              </w:rPr>
              <w:t>харизматичність</w:t>
            </w:r>
            <w:proofErr w:type="spellEnd"/>
            <w:r w:rsidRPr="00634D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2.5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Прийняття ефективних рішень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вирішувати комплексні завдання;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працювати з великими масивами інформації;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 вміння працювати при </w:t>
            </w:r>
            <w:proofErr w:type="spellStart"/>
            <w:r w:rsidRPr="00634D0D">
              <w:rPr>
                <w:rFonts w:ascii="Times New Roman" w:hAnsi="Times New Roman"/>
                <w:sz w:val="24"/>
                <w:szCs w:val="24"/>
              </w:rPr>
              <w:t>багатозадачності</w:t>
            </w:r>
            <w:proofErr w:type="spellEnd"/>
            <w:r w:rsidRPr="00634D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встановлювати цілі, пріоритети та орієнтири.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2.6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Комунікації та взаємодія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високий розвиток комунікативних якостей;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доводити свою точку зору;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здатність встановлювати психологічний контакт і впливати на співрозмовника;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викликати довіру та симпатію;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вільно володіти аудиторією;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достатній словниковий запас.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2.7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Впровадження змін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підтримувати зміни та працювати    з реакцією на них;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оцінювати ефективність здійснених змін.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організовувати і контролювати роботу підлеглих;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вміння працювати в команді та керувати командою; 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мотивувати підлеглих;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здійснювати оцінку професійних якостей підлеглих і їх удосконалення;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запобігати та розв’язувати корпоративні конфлікти.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Del="00E7634A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Особистісні компетенції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аналітичні здібності;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інтелектуальна та емоційна зрілість;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самоорганізація та орієнтація на розвиток;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незалежність та ініціативність;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стійкість до стресів;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сміливість;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чесність та дисциплінованість;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високий рівень відповідальності за доручену справу.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b/>
                <w:caps/>
                <w:lang w:val="en-US"/>
              </w:rPr>
            </w:pPr>
            <w:r w:rsidRPr="00634D0D">
              <w:rPr>
                <w:b/>
                <w:caps/>
                <w:lang w:val="uk-UA"/>
              </w:rPr>
              <w:t>ІІІ</w:t>
            </w:r>
          </w:p>
        </w:tc>
        <w:tc>
          <w:tcPr>
            <w:tcW w:w="8949" w:type="dxa"/>
            <w:gridSpan w:val="2"/>
          </w:tcPr>
          <w:p w:rsidR="00E31664" w:rsidRPr="00634D0D" w:rsidRDefault="00E31664" w:rsidP="00E31664">
            <w:pPr>
              <w:pStyle w:val="13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D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ІНШІ ВІДОМОСТІ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E31664" w:rsidRPr="00634D0D" w:rsidRDefault="006C6312" w:rsidP="00241098">
            <w:pPr>
              <w:ind w:left="-105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E31664" w:rsidRPr="00634D0D">
              <w:rPr>
                <w:caps/>
                <w:lang w:val="uk-UA"/>
              </w:rPr>
              <w:t>.1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тестування на знання законодавства</w:t>
            </w:r>
            <w:r w:rsidRPr="00634D0D">
              <w:rPr>
                <w:lang w:val="uk-UA"/>
              </w:rPr>
              <w:br/>
              <w:t>1-го рівня (</w:t>
            </w:r>
            <w:hyperlink r:id="rId7" w:history="1">
              <w:r w:rsidRPr="002F6122">
                <w:rPr>
                  <w:rStyle w:val="ad"/>
                  <w:lang w:val="uk-UA"/>
                </w:rPr>
                <w:t>https://nabu.gov.ua/perelik-pytan-do-kvalifikaciynogo-ispytu</w:t>
              </w:r>
            </w:hyperlink>
            <w:r w:rsidRPr="00634D0D">
              <w:rPr>
                <w:lang w:val="uk-UA"/>
              </w:rPr>
              <w:t>);</w:t>
            </w:r>
          </w:p>
          <w:p w:rsidR="00E31664" w:rsidRPr="002F6122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</w:t>
            </w:r>
            <w:r>
              <w:rPr>
                <w:lang w:val="uk-UA"/>
              </w:rPr>
              <w:t>тестування загальних здібностей.</w:t>
            </w:r>
          </w:p>
        </w:tc>
      </w:tr>
      <w:tr w:rsidR="00E31664" w:rsidRPr="003B5346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6C6312" w:rsidP="00E3166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E31664">
              <w:rPr>
                <w:caps/>
                <w:lang w:val="uk-UA"/>
              </w:rPr>
              <w:t>.2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Перелік документів:</w:t>
            </w:r>
          </w:p>
        </w:tc>
        <w:tc>
          <w:tcPr>
            <w:tcW w:w="5044" w:type="dxa"/>
          </w:tcPr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8" w:history="1">
              <w:r w:rsidRPr="00152A06">
                <w:rPr>
                  <w:rStyle w:val="ad"/>
                </w:rPr>
                <w:t>https://nabu.gov.ua/robota-v-nabu/pravila-priiomu/poryadok-provedennya-vidkrytogo-konkursu/</w:t>
              </w:r>
            </w:hyperlink>
            <w:r>
              <w:t xml:space="preserve">   (Порядок проведення відкритого конкурсу, розділ ІІІ).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E31664" w:rsidRPr="00634D0D" w:rsidRDefault="00E31664" w:rsidP="00E31664">
            <w:pPr>
              <w:pStyle w:val="1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6C6312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E31664">
              <w:rPr>
                <w:caps/>
                <w:lang w:val="uk-UA"/>
              </w:rPr>
              <w:t>.3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Термін подання документів</w:t>
            </w:r>
          </w:p>
        </w:tc>
        <w:tc>
          <w:tcPr>
            <w:tcW w:w="5044" w:type="dxa"/>
            <w:vAlign w:val="center"/>
          </w:tcPr>
          <w:p w:rsidR="00E31664" w:rsidRPr="00634D0D" w:rsidRDefault="00E31664" w:rsidP="00080A42">
            <w:pPr>
              <w:jc w:val="both"/>
              <w:rPr>
                <w:lang w:val="uk-UA"/>
              </w:rPr>
            </w:pPr>
            <w:r w:rsidRPr="00634D0D">
              <w:rPr>
                <w:kern w:val="36"/>
                <w:lang w:val="uk-UA"/>
              </w:rPr>
              <w:t xml:space="preserve">Протягом </w:t>
            </w:r>
            <w:r w:rsidR="00080A42">
              <w:rPr>
                <w:kern w:val="36"/>
                <w:lang w:val="uk-UA"/>
              </w:rPr>
              <w:t>1</w:t>
            </w:r>
            <w:r>
              <w:rPr>
                <w:kern w:val="36"/>
                <w:lang w:val="uk-UA"/>
              </w:rPr>
              <w:t>0</w:t>
            </w:r>
            <w:r w:rsidRPr="00634D0D">
              <w:rPr>
                <w:kern w:val="36"/>
                <w:lang w:val="uk-UA"/>
              </w:rPr>
              <w:t xml:space="preserve"> календарних днів з дня </w:t>
            </w:r>
            <w:r w:rsidRPr="00634D0D">
              <w:rPr>
                <w:lang w:val="uk-UA"/>
              </w:rPr>
              <w:t>оприлюднення повідомлення про проведення конкурсу.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6C6312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E31664">
              <w:rPr>
                <w:caps/>
                <w:lang w:val="uk-UA"/>
              </w:rPr>
              <w:t>.4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highlight w:val="yellow"/>
                <w:lang w:val="uk-UA"/>
              </w:rPr>
            </w:pPr>
            <w:r w:rsidRPr="00634D0D">
              <w:rPr>
                <w:lang w:val="uk-UA"/>
              </w:rPr>
              <w:t>Прийом документів</w:t>
            </w:r>
          </w:p>
        </w:tc>
        <w:tc>
          <w:tcPr>
            <w:tcW w:w="5044" w:type="dxa"/>
          </w:tcPr>
          <w:p w:rsidR="00E31664" w:rsidRPr="009579CA" w:rsidRDefault="00E31664" w:rsidP="00E31664">
            <w:pPr>
              <w:jc w:val="both"/>
              <w:rPr>
                <w:lang w:val="uk-UA"/>
              </w:rPr>
            </w:pPr>
            <w:r w:rsidRPr="009579CA">
              <w:rPr>
                <w:kern w:val="36"/>
              </w:rPr>
              <w:t xml:space="preserve">За </w:t>
            </w:r>
            <w:proofErr w:type="spellStart"/>
            <w:r w:rsidRPr="009579CA">
              <w:rPr>
                <w:kern w:val="36"/>
              </w:rPr>
              <w:t>посиланням</w:t>
            </w:r>
            <w:proofErr w:type="spellEnd"/>
            <w:r w:rsidRPr="009579CA">
              <w:rPr>
                <w:kern w:val="36"/>
              </w:rPr>
              <w:t xml:space="preserve"> на </w:t>
            </w:r>
            <w:proofErr w:type="spellStart"/>
            <w:r w:rsidRPr="009579CA">
              <w:rPr>
                <w:kern w:val="36"/>
              </w:rPr>
              <w:t>вебсайті</w:t>
            </w:r>
            <w:proofErr w:type="spellEnd"/>
            <w:r w:rsidRPr="009579CA">
              <w:rPr>
                <w:kern w:val="36"/>
              </w:rPr>
              <w:t xml:space="preserve"> </w:t>
            </w:r>
            <w:proofErr w:type="spellStart"/>
            <w:r w:rsidRPr="009579CA">
              <w:rPr>
                <w:kern w:val="36"/>
              </w:rPr>
              <w:t>Національного</w:t>
            </w:r>
            <w:proofErr w:type="spellEnd"/>
            <w:r w:rsidRPr="009579CA">
              <w:rPr>
                <w:kern w:val="36"/>
              </w:rPr>
              <w:t xml:space="preserve"> бюро </w:t>
            </w:r>
            <w:hyperlink r:id="rId9" w:history="1">
              <w:r w:rsidRPr="009579CA">
                <w:rPr>
                  <w:rStyle w:val="ad"/>
                </w:rPr>
                <w:t>https://nabu.gov.ua/robota-v-nabu/perelik-vakansiy/</w:t>
              </w:r>
            </w:hyperlink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6C6312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E31664">
              <w:rPr>
                <w:caps/>
                <w:lang w:val="uk-UA"/>
              </w:rPr>
              <w:t>.5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Контактні дані</w:t>
            </w:r>
          </w:p>
        </w:tc>
        <w:tc>
          <w:tcPr>
            <w:tcW w:w="5044" w:type="dxa"/>
          </w:tcPr>
          <w:p w:rsidR="00E31664" w:rsidRPr="009579CA" w:rsidRDefault="00E31664" w:rsidP="00E31664">
            <w:pPr>
              <w:jc w:val="both"/>
              <w:rPr>
                <w:rStyle w:val="ad"/>
                <w:color w:val="auto"/>
                <w:lang w:val="uk-UA"/>
              </w:rPr>
            </w:pPr>
            <w:r w:rsidRPr="009579CA">
              <w:rPr>
                <w:bCs/>
                <w:lang w:val="uk-UA"/>
              </w:rPr>
              <w:t>E-</w:t>
            </w:r>
            <w:r w:rsidRPr="009579CA">
              <w:rPr>
                <w:bCs/>
                <w:lang w:val="it-CH"/>
              </w:rPr>
              <w:t>mail</w:t>
            </w:r>
            <w:r w:rsidRPr="009579CA">
              <w:rPr>
                <w:bCs/>
                <w:lang w:val="uk-UA"/>
              </w:rPr>
              <w:t>:</w:t>
            </w:r>
            <w:r w:rsidRPr="009579CA">
              <w:rPr>
                <w:lang w:val="uk-UA"/>
              </w:rPr>
              <w:t> </w:t>
            </w:r>
            <w:r w:rsidRPr="009579CA">
              <w:rPr>
                <w:rStyle w:val="ad"/>
                <w:color w:val="auto"/>
                <w:lang w:val="uk-UA"/>
              </w:rPr>
              <w:t xml:space="preserve"> </w:t>
            </w:r>
            <w:hyperlink r:id="rId10" w:history="1">
              <w:r w:rsidRPr="009579CA">
                <w:rPr>
                  <w:rStyle w:val="ad"/>
                  <w:lang w:val="uk-UA"/>
                </w:rPr>
                <w:t>commission1@nabu.gov.ua</w:t>
              </w:r>
            </w:hyperlink>
          </w:p>
          <w:p w:rsidR="00E31664" w:rsidRPr="009579CA" w:rsidRDefault="00E31664" w:rsidP="00E31664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(044) 246</w:t>
            </w:r>
            <w:r w:rsidRPr="009579CA">
              <w:rPr>
                <w:rFonts w:cs="Calibri"/>
                <w:szCs w:val="20"/>
                <w:lang w:val="uk-UA" w:eastAsia="uk-UA"/>
              </w:rPr>
              <w:t>-31-22</w:t>
            </w:r>
          </w:p>
        </w:tc>
      </w:tr>
      <w:tr w:rsidR="00E31664" w:rsidRPr="003B5346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E31664" w:rsidRPr="00634D0D" w:rsidRDefault="006C6312" w:rsidP="00E316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1664">
              <w:rPr>
                <w:lang w:val="uk-UA"/>
              </w:rPr>
              <w:t>.6</w:t>
            </w:r>
          </w:p>
        </w:tc>
        <w:tc>
          <w:tcPr>
            <w:tcW w:w="3905" w:type="dxa"/>
            <w:shd w:val="clear" w:color="auto" w:fill="auto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Умови оплати праці</w:t>
            </w:r>
          </w:p>
        </w:tc>
        <w:tc>
          <w:tcPr>
            <w:tcW w:w="5044" w:type="dxa"/>
            <w:shd w:val="clear" w:color="auto" w:fill="auto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E31664" w:rsidRPr="00634D0D" w:rsidRDefault="006C6312" w:rsidP="00E316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1664">
              <w:rPr>
                <w:lang w:val="uk-UA"/>
              </w:rPr>
              <w:t>.7</w:t>
            </w:r>
          </w:p>
        </w:tc>
        <w:tc>
          <w:tcPr>
            <w:tcW w:w="3905" w:type="dxa"/>
            <w:shd w:val="clear" w:color="auto" w:fill="auto"/>
          </w:tcPr>
          <w:p w:rsidR="0042747A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Місце проведення конкурсу</w:t>
            </w:r>
          </w:p>
          <w:p w:rsidR="00E31664" w:rsidRPr="0042747A" w:rsidRDefault="00E31664" w:rsidP="0042747A">
            <w:pPr>
              <w:jc w:val="right"/>
              <w:rPr>
                <w:lang w:val="uk-UA"/>
              </w:rPr>
            </w:pPr>
          </w:p>
        </w:tc>
        <w:tc>
          <w:tcPr>
            <w:tcW w:w="5044" w:type="dxa"/>
            <w:shd w:val="clear" w:color="auto" w:fill="auto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03035, м. Київ, вул. Дениса Монастирського, 3 (адміністративна будівля Національного бюро)</w:t>
            </w:r>
          </w:p>
        </w:tc>
      </w:tr>
    </w:tbl>
    <w:p w:rsidR="007A4FCB" w:rsidRPr="008C6DC1" w:rsidRDefault="007A4FCB" w:rsidP="00385A6E">
      <w:pPr>
        <w:shd w:val="clear" w:color="auto" w:fill="FFFFFF"/>
        <w:rPr>
          <w:sz w:val="16"/>
          <w:szCs w:val="28"/>
        </w:rPr>
      </w:pPr>
    </w:p>
    <w:sectPr w:rsidR="007A4FCB" w:rsidRPr="008C6DC1" w:rsidSect="0042747A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B5" w:rsidRDefault="00CD53B5" w:rsidP="005C3C0A">
      <w:r>
        <w:separator/>
      </w:r>
    </w:p>
  </w:endnote>
  <w:endnote w:type="continuationSeparator" w:id="0">
    <w:p w:rsidR="00CD53B5" w:rsidRDefault="00CD53B5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B5" w:rsidRDefault="00CD53B5" w:rsidP="005C3C0A">
      <w:r>
        <w:separator/>
      </w:r>
    </w:p>
  </w:footnote>
  <w:footnote w:type="continuationSeparator" w:id="0">
    <w:p w:rsidR="00CD53B5" w:rsidRDefault="00CD53B5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79CB"/>
    <w:multiLevelType w:val="multilevel"/>
    <w:tmpl w:val="6F68622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" w15:restartNumberingAfterBreak="0">
    <w:nsid w:val="040B513F"/>
    <w:multiLevelType w:val="hybridMultilevel"/>
    <w:tmpl w:val="F44CBD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51F8"/>
    <w:multiLevelType w:val="multilevel"/>
    <w:tmpl w:val="CBE481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6" w15:restartNumberingAfterBreak="0">
    <w:nsid w:val="104966C6"/>
    <w:multiLevelType w:val="multilevel"/>
    <w:tmpl w:val="24CAE19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7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9A153D"/>
    <w:multiLevelType w:val="hybridMultilevel"/>
    <w:tmpl w:val="F44CBD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94164F"/>
    <w:multiLevelType w:val="hybridMultilevel"/>
    <w:tmpl w:val="EF705E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2F15AE"/>
    <w:multiLevelType w:val="multilevel"/>
    <w:tmpl w:val="C6486FD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5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5B9F"/>
    <w:multiLevelType w:val="multilevel"/>
    <w:tmpl w:val="64AA669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7" w15:restartNumberingAfterBreak="0">
    <w:nsid w:val="3D3973BB"/>
    <w:multiLevelType w:val="multilevel"/>
    <w:tmpl w:val="17E27E8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8" w15:restartNumberingAfterBreak="0">
    <w:nsid w:val="3FA9069F"/>
    <w:multiLevelType w:val="multilevel"/>
    <w:tmpl w:val="566A7C4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9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053DB"/>
    <w:multiLevelType w:val="multilevel"/>
    <w:tmpl w:val="722C9D4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3" w15:restartNumberingAfterBreak="0">
    <w:nsid w:val="5C754256"/>
    <w:multiLevelType w:val="multilevel"/>
    <w:tmpl w:val="19089BD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55281"/>
    <w:multiLevelType w:val="multilevel"/>
    <w:tmpl w:val="D94817F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6" w15:restartNumberingAfterBreak="0">
    <w:nsid w:val="69117F50"/>
    <w:multiLevelType w:val="multilevel"/>
    <w:tmpl w:val="E5F8FD2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7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144B2"/>
    <w:multiLevelType w:val="multilevel"/>
    <w:tmpl w:val="6A9C713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31" w15:restartNumberingAfterBreak="0">
    <w:nsid w:val="78F775AF"/>
    <w:multiLevelType w:val="multilevel"/>
    <w:tmpl w:val="0DE8D53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32" w15:restartNumberingAfterBreak="0">
    <w:nsid w:val="79FD21F4"/>
    <w:multiLevelType w:val="multilevel"/>
    <w:tmpl w:val="88E069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8"/>
  </w:num>
  <w:num w:numId="5">
    <w:abstractNumId w:val="27"/>
  </w:num>
  <w:num w:numId="6">
    <w:abstractNumId w:val="28"/>
  </w:num>
  <w:num w:numId="7">
    <w:abstractNumId w:val="15"/>
  </w:num>
  <w:num w:numId="8">
    <w:abstractNumId w:val="4"/>
  </w:num>
  <w:num w:numId="9">
    <w:abstractNumId w:val="0"/>
  </w:num>
  <w:num w:numId="10">
    <w:abstractNumId w:val="29"/>
  </w:num>
  <w:num w:numId="11">
    <w:abstractNumId w:val="19"/>
  </w:num>
  <w:num w:numId="12">
    <w:abstractNumId w:val="7"/>
  </w:num>
  <w:num w:numId="13">
    <w:abstractNumId w:val="11"/>
  </w:num>
  <w:num w:numId="14">
    <w:abstractNumId w:val="21"/>
  </w:num>
  <w:num w:numId="15">
    <w:abstractNumId w:val="3"/>
  </w:num>
  <w:num w:numId="16">
    <w:abstractNumId w:val="16"/>
  </w:num>
  <w:num w:numId="17">
    <w:abstractNumId w:val="14"/>
  </w:num>
  <w:num w:numId="18">
    <w:abstractNumId w:val="5"/>
  </w:num>
  <w:num w:numId="19">
    <w:abstractNumId w:val="23"/>
  </w:num>
  <w:num w:numId="20">
    <w:abstractNumId w:val="32"/>
  </w:num>
  <w:num w:numId="21">
    <w:abstractNumId w:val="6"/>
  </w:num>
  <w:num w:numId="22">
    <w:abstractNumId w:val="17"/>
  </w:num>
  <w:num w:numId="23">
    <w:abstractNumId w:val="1"/>
  </w:num>
  <w:num w:numId="24">
    <w:abstractNumId w:val="31"/>
  </w:num>
  <w:num w:numId="25">
    <w:abstractNumId w:val="22"/>
  </w:num>
  <w:num w:numId="26">
    <w:abstractNumId w:val="25"/>
  </w:num>
  <w:num w:numId="27">
    <w:abstractNumId w:val="26"/>
  </w:num>
  <w:num w:numId="28">
    <w:abstractNumId w:val="18"/>
  </w:num>
  <w:num w:numId="29">
    <w:abstractNumId w:val="30"/>
  </w:num>
  <w:num w:numId="30">
    <w:abstractNumId w:val="24"/>
  </w:num>
  <w:num w:numId="31">
    <w:abstractNumId w:val="10"/>
  </w:num>
  <w:num w:numId="32">
    <w:abstractNumId w:val="2"/>
  </w:num>
  <w:num w:numId="3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108C2"/>
    <w:rsid w:val="000116AA"/>
    <w:rsid w:val="0001455F"/>
    <w:rsid w:val="00034506"/>
    <w:rsid w:val="000658A8"/>
    <w:rsid w:val="00075724"/>
    <w:rsid w:val="00080A42"/>
    <w:rsid w:val="000863BD"/>
    <w:rsid w:val="00091DDC"/>
    <w:rsid w:val="000B33BC"/>
    <w:rsid w:val="000C37E5"/>
    <w:rsid w:val="000D27E4"/>
    <w:rsid w:val="000D5ACB"/>
    <w:rsid w:val="000D6D2A"/>
    <w:rsid w:val="000E7478"/>
    <w:rsid w:val="000F70FB"/>
    <w:rsid w:val="00134B03"/>
    <w:rsid w:val="00140866"/>
    <w:rsid w:val="00167D1A"/>
    <w:rsid w:val="0018614D"/>
    <w:rsid w:val="001C3AF0"/>
    <w:rsid w:val="001D5109"/>
    <w:rsid w:val="00203F47"/>
    <w:rsid w:val="00205DDB"/>
    <w:rsid w:val="002126C7"/>
    <w:rsid w:val="00212D6B"/>
    <w:rsid w:val="00224046"/>
    <w:rsid w:val="002374CE"/>
    <w:rsid w:val="00240AAB"/>
    <w:rsid w:val="00241098"/>
    <w:rsid w:val="00241125"/>
    <w:rsid w:val="0024559F"/>
    <w:rsid w:val="0024637B"/>
    <w:rsid w:val="00253073"/>
    <w:rsid w:val="002558CE"/>
    <w:rsid w:val="00264BFA"/>
    <w:rsid w:val="00275198"/>
    <w:rsid w:val="002813AE"/>
    <w:rsid w:val="002853F0"/>
    <w:rsid w:val="002858F7"/>
    <w:rsid w:val="00290D40"/>
    <w:rsid w:val="002A0ECA"/>
    <w:rsid w:val="002A116E"/>
    <w:rsid w:val="002A30CC"/>
    <w:rsid w:val="002A34FD"/>
    <w:rsid w:val="002C5025"/>
    <w:rsid w:val="002C5898"/>
    <w:rsid w:val="002D3316"/>
    <w:rsid w:val="002D5F91"/>
    <w:rsid w:val="002F6122"/>
    <w:rsid w:val="003005FA"/>
    <w:rsid w:val="00302077"/>
    <w:rsid w:val="0031159E"/>
    <w:rsid w:val="003206C8"/>
    <w:rsid w:val="003331D8"/>
    <w:rsid w:val="003373F1"/>
    <w:rsid w:val="003470AE"/>
    <w:rsid w:val="003740E0"/>
    <w:rsid w:val="00380794"/>
    <w:rsid w:val="00380D2F"/>
    <w:rsid w:val="00383BEA"/>
    <w:rsid w:val="00385A6E"/>
    <w:rsid w:val="00392047"/>
    <w:rsid w:val="003A676E"/>
    <w:rsid w:val="003B145B"/>
    <w:rsid w:val="003B5346"/>
    <w:rsid w:val="003C79CF"/>
    <w:rsid w:val="003F4F85"/>
    <w:rsid w:val="00405ACA"/>
    <w:rsid w:val="00410645"/>
    <w:rsid w:val="00423D98"/>
    <w:rsid w:val="0042747A"/>
    <w:rsid w:val="004319BD"/>
    <w:rsid w:val="00437D57"/>
    <w:rsid w:val="004453D5"/>
    <w:rsid w:val="00446999"/>
    <w:rsid w:val="00456665"/>
    <w:rsid w:val="00461FFE"/>
    <w:rsid w:val="00473613"/>
    <w:rsid w:val="004A6CE5"/>
    <w:rsid w:val="004C3E70"/>
    <w:rsid w:val="004C4395"/>
    <w:rsid w:val="004E2135"/>
    <w:rsid w:val="004F4DD5"/>
    <w:rsid w:val="005112AC"/>
    <w:rsid w:val="00531309"/>
    <w:rsid w:val="0054149A"/>
    <w:rsid w:val="005415CA"/>
    <w:rsid w:val="00550DB0"/>
    <w:rsid w:val="005528DF"/>
    <w:rsid w:val="00560382"/>
    <w:rsid w:val="005653EE"/>
    <w:rsid w:val="005706DF"/>
    <w:rsid w:val="00570E81"/>
    <w:rsid w:val="0057651B"/>
    <w:rsid w:val="00585A92"/>
    <w:rsid w:val="005A4C8D"/>
    <w:rsid w:val="005B55D1"/>
    <w:rsid w:val="005B6BAA"/>
    <w:rsid w:val="005B752F"/>
    <w:rsid w:val="005C2EAA"/>
    <w:rsid w:val="005C3C0A"/>
    <w:rsid w:val="005D3496"/>
    <w:rsid w:val="006024ED"/>
    <w:rsid w:val="00605094"/>
    <w:rsid w:val="00617D61"/>
    <w:rsid w:val="00620A67"/>
    <w:rsid w:val="00630F1F"/>
    <w:rsid w:val="00632784"/>
    <w:rsid w:val="00634D0D"/>
    <w:rsid w:val="006418A2"/>
    <w:rsid w:val="0064718D"/>
    <w:rsid w:val="006545C6"/>
    <w:rsid w:val="00666F0A"/>
    <w:rsid w:val="006766B2"/>
    <w:rsid w:val="00695343"/>
    <w:rsid w:val="006A2E7E"/>
    <w:rsid w:val="006A7994"/>
    <w:rsid w:val="006B7D21"/>
    <w:rsid w:val="006C6312"/>
    <w:rsid w:val="006C7FFC"/>
    <w:rsid w:val="006F30E3"/>
    <w:rsid w:val="006F4D8E"/>
    <w:rsid w:val="00705505"/>
    <w:rsid w:val="00707ECE"/>
    <w:rsid w:val="00713F0F"/>
    <w:rsid w:val="00714CD9"/>
    <w:rsid w:val="00716087"/>
    <w:rsid w:val="00723AE5"/>
    <w:rsid w:val="00731F7B"/>
    <w:rsid w:val="00736184"/>
    <w:rsid w:val="007477FE"/>
    <w:rsid w:val="0075264D"/>
    <w:rsid w:val="0075669E"/>
    <w:rsid w:val="007600C9"/>
    <w:rsid w:val="007629CA"/>
    <w:rsid w:val="007714D1"/>
    <w:rsid w:val="00772A75"/>
    <w:rsid w:val="00774078"/>
    <w:rsid w:val="007815E8"/>
    <w:rsid w:val="0078417B"/>
    <w:rsid w:val="00785807"/>
    <w:rsid w:val="00790D0F"/>
    <w:rsid w:val="007A2B98"/>
    <w:rsid w:val="007A2FC7"/>
    <w:rsid w:val="007A4FCB"/>
    <w:rsid w:val="007D0BCA"/>
    <w:rsid w:val="007D3FB9"/>
    <w:rsid w:val="007D6B27"/>
    <w:rsid w:val="007D6C5B"/>
    <w:rsid w:val="007E1956"/>
    <w:rsid w:val="007E2ACC"/>
    <w:rsid w:val="007E4B0A"/>
    <w:rsid w:val="007F2A40"/>
    <w:rsid w:val="00806CAF"/>
    <w:rsid w:val="00810DF2"/>
    <w:rsid w:val="00814DDA"/>
    <w:rsid w:val="008248E4"/>
    <w:rsid w:val="00830C06"/>
    <w:rsid w:val="00832D27"/>
    <w:rsid w:val="008543B0"/>
    <w:rsid w:val="0087291A"/>
    <w:rsid w:val="008845BB"/>
    <w:rsid w:val="00887CBB"/>
    <w:rsid w:val="008908FE"/>
    <w:rsid w:val="008A5F62"/>
    <w:rsid w:val="008A6C05"/>
    <w:rsid w:val="008A7B28"/>
    <w:rsid w:val="008B521C"/>
    <w:rsid w:val="008B5C57"/>
    <w:rsid w:val="008C085B"/>
    <w:rsid w:val="008C3295"/>
    <w:rsid w:val="008C420A"/>
    <w:rsid w:val="008C56DE"/>
    <w:rsid w:val="008C6DC1"/>
    <w:rsid w:val="008D21C6"/>
    <w:rsid w:val="008D7E37"/>
    <w:rsid w:val="008E1871"/>
    <w:rsid w:val="008F0997"/>
    <w:rsid w:val="00907811"/>
    <w:rsid w:val="0091055F"/>
    <w:rsid w:val="0091085C"/>
    <w:rsid w:val="0091192E"/>
    <w:rsid w:val="00911FAF"/>
    <w:rsid w:val="00916856"/>
    <w:rsid w:val="00933806"/>
    <w:rsid w:val="00935273"/>
    <w:rsid w:val="00940B33"/>
    <w:rsid w:val="00940F54"/>
    <w:rsid w:val="009667C3"/>
    <w:rsid w:val="009776F3"/>
    <w:rsid w:val="00984D58"/>
    <w:rsid w:val="00995F46"/>
    <w:rsid w:val="009E0782"/>
    <w:rsid w:val="009E376A"/>
    <w:rsid w:val="009E3D68"/>
    <w:rsid w:val="00A04F6D"/>
    <w:rsid w:val="00A11477"/>
    <w:rsid w:val="00A1233D"/>
    <w:rsid w:val="00A13A1C"/>
    <w:rsid w:val="00A1691D"/>
    <w:rsid w:val="00A20002"/>
    <w:rsid w:val="00A50A87"/>
    <w:rsid w:val="00A50FE5"/>
    <w:rsid w:val="00A55A98"/>
    <w:rsid w:val="00A61DBD"/>
    <w:rsid w:val="00A67438"/>
    <w:rsid w:val="00A719BB"/>
    <w:rsid w:val="00A7240C"/>
    <w:rsid w:val="00A74DEA"/>
    <w:rsid w:val="00A76545"/>
    <w:rsid w:val="00A95A8F"/>
    <w:rsid w:val="00A97E00"/>
    <w:rsid w:val="00AA4FA9"/>
    <w:rsid w:val="00AA6892"/>
    <w:rsid w:val="00AA7EBE"/>
    <w:rsid w:val="00AB2765"/>
    <w:rsid w:val="00AB46DF"/>
    <w:rsid w:val="00AC29FE"/>
    <w:rsid w:val="00AC6320"/>
    <w:rsid w:val="00AC781E"/>
    <w:rsid w:val="00AD3DC9"/>
    <w:rsid w:val="00AE6040"/>
    <w:rsid w:val="00AE76D9"/>
    <w:rsid w:val="00B00104"/>
    <w:rsid w:val="00B011AE"/>
    <w:rsid w:val="00B01B8A"/>
    <w:rsid w:val="00B074DB"/>
    <w:rsid w:val="00B132B3"/>
    <w:rsid w:val="00B160F8"/>
    <w:rsid w:val="00B2081F"/>
    <w:rsid w:val="00B2203A"/>
    <w:rsid w:val="00B24B4B"/>
    <w:rsid w:val="00B53A4C"/>
    <w:rsid w:val="00B545B6"/>
    <w:rsid w:val="00B64355"/>
    <w:rsid w:val="00B67D8C"/>
    <w:rsid w:val="00B70FA3"/>
    <w:rsid w:val="00B75722"/>
    <w:rsid w:val="00B802FA"/>
    <w:rsid w:val="00B82FC9"/>
    <w:rsid w:val="00B836A4"/>
    <w:rsid w:val="00B9171F"/>
    <w:rsid w:val="00BA346E"/>
    <w:rsid w:val="00BA5B28"/>
    <w:rsid w:val="00BB37D6"/>
    <w:rsid w:val="00BB580A"/>
    <w:rsid w:val="00BC0048"/>
    <w:rsid w:val="00BE491F"/>
    <w:rsid w:val="00BE735B"/>
    <w:rsid w:val="00BF3AA3"/>
    <w:rsid w:val="00BF76E0"/>
    <w:rsid w:val="00C065D3"/>
    <w:rsid w:val="00C1435E"/>
    <w:rsid w:val="00C21542"/>
    <w:rsid w:val="00C30352"/>
    <w:rsid w:val="00C36157"/>
    <w:rsid w:val="00C66715"/>
    <w:rsid w:val="00C765DB"/>
    <w:rsid w:val="00C76AE4"/>
    <w:rsid w:val="00C81B66"/>
    <w:rsid w:val="00C82109"/>
    <w:rsid w:val="00CB477F"/>
    <w:rsid w:val="00CC74DC"/>
    <w:rsid w:val="00CD53B5"/>
    <w:rsid w:val="00CD7EC4"/>
    <w:rsid w:val="00CF1723"/>
    <w:rsid w:val="00CF1F40"/>
    <w:rsid w:val="00CF4C30"/>
    <w:rsid w:val="00CF596A"/>
    <w:rsid w:val="00D04670"/>
    <w:rsid w:val="00D06C76"/>
    <w:rsid w:val="00D23D78"/>
    <w:rsid w:val="00D275BE"/>
    <w:rsid w:val="00D32115"/>
    <w:rsid w:val="00D369F2"/>
    <w:rsid w:val="00D42721"/>
    <w:rsid w:val="00D467A5"/>
    <w:rsid w:val="00D55950"/>
    <w:rsid w:val="00D85BFA"/>
    <w:rsid w:val="00DA4D38"/>
    <w:rsid w:val="00DA5B10"/>
    <w:rsid w:val="00DC63D0"/>
    <w:rsid w:val="00DE0F68"/>
    <w:rsid w:val="00DE5482"/>
    <w:rsid w:val="00DF0977"/>
    <w:rsid w:val="00E00485"/>
    <w:rsid w:val="00E03941"/>
    <w:rsid w:val="00E21AA7"/>
    <w:rsid w:val="00E30875"/>
    <w:rsid w:val="00E31664"/>
    <w:rsid w:val="00E34087"/>
    <w:rsid w:val="00E534D4"/>
    <w:rsid w:val="00E75FF7"/>
    <w:rsid w:val="00E7634A"/>
    <w:rsid w:val="00E81EBA"/>
    <w:rsid w:val="00EB2726"/>
    <w:rsid w:val="00EB5C89"/>
    <w:rsid w:val="00EC7DD2"/>
    <w:rsid w:val="00EE52E6"/>
    <w:rsid w:val="00EF1ECC"/>
    <w:rsid w:val="00F05768"/>
    <w:rsid w:val="00F11D71"/>
    <w:rsid w:val="00F147EC"/>
    <w:rsid w:val="00F24DD1"/>
    <w:rsid w:val="00F522DD"/>
    <w:rsid w:val="00F73538"/>
    <w:rsid w:val="00F76B09"/>
    <w:rsid w:val="00F823E0"/>
    <w:rsid w:val="00F83B11"/>
    <w:rsid w:val="00F84E1A"/>
    <w:rsid w:val="00F86A0C"/>
    <w:rsid w:val="00F91830"/>
    <w:rsid w:val="00F92F9D"/>
    <w:rsid w:val="00F94FC4"/>
    <w:rsid w:val="00F9636F"/>
    <w:rsid w:val="00FA0179"/>
    <w:rsid w:val="00FA13D8"/>
    <w:rsid w:val="00FA281E"/>
    <w:rsid w:val="00FA2F65"/>
    <w:rsid w:val="00FA345A"/>
    <w:rsid w:val="00FB1BB8"/>
    <w:rsid w:val="00FB4568"/>
    <w:rsid w:val="00FB745C"/>
    <w:rsid w:val="00FD29F4"/>
    <w:rsid w:val="00FD356A"/>
    <w:rsid w:val="00FE7277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30FB"/>
  <w14:defaultImageDpi w14:val="300"/>
  <w15:chartTrackingRefBased/>
  <w15:docId w15:val="{47B7E42C-4BAA-4745-A467-AD148E13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F6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2">
    <w:name w:val="Знак примечания1"/>
    <w:rsid w:val="00DE0F68"/>
    <w:rPr>
      <w:sz w:val="16"/>
      <w:szCs w:val="16"/>
    </w:rPr>
  </w:style>
  <w:style w:type="paragraph" w:styleId="ae">
    <w:name w:val="No Spacing"/>
    <w:uiPriority w:val="99"/>
    <w:qFormat/>
    <w:rsid w:val="006C7FFC"/>
    <w:rPr>
      <w:rFonts w:eastAsia="Times New Roman"/>
      <w:sz w:val="22"/>
      <w:szCs w:val="22"/>
    </w:rPr>
  </w:style>
  <w:style w:type="paragraph" w:customStyle="1" w:styleId="af">
    <w:name w:val="По умолчанию"/>
    <w:rsid w:val="00FA281E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FA281E"/>
    <w:rPr>
      <w:rFonts w:ascii="Helvetica" w:eastAsia="Times New Roman" w:hAnsi="Helvetica" w:cs="Helvetica"/>
      <w:color w:val="000000"/>
      <w:lang w:val="ru-RU" w:eastAsia="en-US"/>
    </w:rPr>
  </w:style>
  <w:style w:type="paragraph" w:customStyle="1" w:styleId="13">
    <w:name w:val="Абзац списку1"/>
    <w:basedOn w:val="a"/>
    <w:rsid w:val="004C43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0">
    <w:name w:val="List Paragraph"/>
    <w:basedOn w:val="a"/>
    <w:uiPriority w:val="34"/>
    <w:qFormat/>
    <w:rsid w:val="004C4395"/>
    <w:pPr>
      <w:ind w:left="720"/>
      <w:contextualSpacing/>
    </w:pPr>
  </w:style>
  <w:style w:type="paragraph" w:customStyle="1" w:styleId="consplusnormal">
    <w:name w:val="consplusnormal"/>
    <w:basedOn w:val="a"/>
    <w:rsid w:val="007A4FCB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ListParagraph1">
    <w:name w:val="List Paragraph1"/>
    <w:basedOn w:val="a"/>
    <w:rsid w:val="007A4F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1">
    <w:name w:val="Normal (Web)"/>
    <w:basedOn w:val="a"/>
    <w:uiPriority w:val="99"/>
    <w:unhideWhenUsed/>
    <w:qFormat/>
    <w:rsid w:val="00A7240C"/>
    <w:pPr>
      <w:spacing w:before="100" w:beforeAutospacing="1" w:after="100" w:afterAutospacing="1"/>
    </w:pPr>
    <w:rPr>
      <w:lang w:val="uk-UA" w:eastAsia="uk-UA"/>
    </w:rPr>
  </w:style>
  <w:style w:type="paragraph" w:customStyle="1" w:styleId="14">
    <w:name w:val="Звичайний1"/>
    <w:qFormat/>
    <w:rsid w:val="00A7240C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Calibri"/>
      <w:sz w:val="24"/>
      <w:lang w:val="ru-RU"/>
    </w:rPr>
  </w:style>
  <w:style w:type="paragraph" w:customStyle="1" w:styleId="af2">
    <w:name w:val="Нормальний текст"/>
    <w:basedOn w:val="a"/>
    <w:rsid w:val="00FB1BB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F61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7878</Words>
  <Characters>4492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12346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Медина Олена Степанівна</cp:lastModifiedBy>
  <cp:revision>8</cp:revision>
  <cp:lastPrinted>2026-06-02T12:59:00Z</cp:lastPrinted>
  <dcterms:created xsi:type="dcterms:W3CDTF">2026-06-04T09:49:00Z</dcterms:created>
  <dcterms:modified xsi:type="dcterms:W3CDTF">2026-06-16T09:23:00Z</dcterms:modified>
</cp:coreProperties>
</file>