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77" w:rsidRDefault="00720ED3" w:rsidP="00493DB6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ПРОФІЛЬ ПОСАДИ</w:t>
      </w:r>
      <w:r w:rsidRPr="00BD7B6D">
        <w:rPr>
          <w:b/>
          <w:sz w:val="28"/>
          <w:szCs w:val="28"/>
          <w:lang w:val="uk-UA"/>
        </w:rPr>
        <w:br/>
        <w:t>«</w:t>
      </w:r>
      <w:r w:rsidR="002A293A">
        <w:rPr>
          <w:b/>
          <w:sz w:val="28"/>
          <w:szCs w:val="28"/>
          <w:lang w:val="uk-UA"/>
        </w:rPr>
        <w:t>З</w:t>
      </w:r>
      <w:r w:rsidR="00493DB6">
        <w:rPr>
          <w:b/>
          <w:sz w:val="28"/>
          <w:szCs w:val="28"/>
          <w:lang w:val="uk-UA"/>
        </w:rPr>
        <w:t xml:space="preserve">авідувач сектору </w:t>
      </w:r>
      <w:r w:rsidR="00493DB6">
        <w:rPr>
          <w:b/>
          <w:sz w:val="28"/>
          <w:szCs w:val="28"/>
          <w:lang w:val="uk-UA"/>
        </w:rPr>
        <w:br/>
        <w:t xml:space="preserve">бухгалтерського обліку грошових коштів та речових доказів </w:t>
      </w:r>
      <w:r w:rsidR="00493DB6">
        <w:rPr>
          <w:b/>
          <w:sz w:val="28"/>
          <w:szCs w:val="28"/>
          <w:lang w:val="uk-UA"/>
        </w:rPr>
        <w:br/>
      </w:r>
      <w:r w:rsidR="004527FA" w:rsidRPr="00BD7B6D">
        <w:rPr>
          <w:b/>
          <w:sz w:val="28"/>
          <w:szCs w:val="28"/>
          <w:lang w:val="uk-UA"/>
        </w:rPr>
        <w:t xml:space="preserve">відділу </w:t>
      </w:r>
      <w:r w:rsidR="00132994" w:rsidRPr="00132994">
        <w:rPr>
          <w:b/>
          <w:sz w:val="28"/>
          <w:szCs w:val="28"/>
          <w:lang w:val="uk-UA"/>
        </w:rPr>
        <w:t>нарахування і виплат заробітної плати та звітності</w:t>
      </w:r>
      <w:r w:rsidR="00132994">
        <w:rPr>
          <w:b/>
          <w:sz w:val="28"/>
          <w:szCs w:val="28"/>
          <w:lang w:val="uk-UA"/>
        </w:rPr>
        <w:t xml:space="preserve"> </w:t>
      </w:r>
    </w:p>
    <w:p w:rsidR="00720ED3" w:rsidRPr="00D706DB" w:rsidRDefault="004527FA" w:rsidP="00132994">
      <w:pPr>
        <w:jc w:val="center"/>
        <w:rPr>
          <w:b/>
          <w:sz w:val="28"/>
          <w:szCs w:val="28"/>
          <w:lang w:val="uk-UA"/>
        </w:rPr>
      </w:pPr>
      <w:r w:rsidRPr="00D706DB">
        <w:rPr>
          <w:b/>
          <w:sz w:val="28"/>
          <w:szCs w:val="28"/>
          <w:lang w:val="uk-UA"/>
        </w:rPr>
        <w:t>Управління бухгалтерського обліку та звітності</w:t>
      </w:r>
      <w:r w:rsidR="00720ED3" w:rsidRPr="00D706DB">
        <w:rPr>
          <w:b/>
          <w:sz w:val="28"/>
          <w:szCs w:val="28"/>
          <w:lang w:val="uk-UA"/>
        </w:rPr>
        <w:t>»</w:t>
      </w:r>
    </w:p>
    <w:p w:rsidR="00720ED3" w:rsidRPr="00BD7B6D" w:rsidRDefault="00720ED3" w:rsidP="00720ED3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037386" w:rsidRPr="00BD7B6D" w:rsidRDefault="00037386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3545"/>
        <w:gridCol w:w="6096"/>
      </w:tblGrid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514777" w:rsidRPr="00493DB6" w:rsidTr="00D22DCB">
        <w:trPr>
          <w:trHeight w:val="628"/>
        </w:trPr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22DCB" w:rsidRDefault="00D22DCB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4777" w:rsidRDefault="00514777" w:rsidP="0084603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 w:rsidR="00493D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</w:t>
            </w:r>
            <w:r w:rsidR="008460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Семен КРИВОНОС</w:t>
            </w:r>
          </w:p>
        </w:tc>
      </w:tr>
      <w:tr w:rsidR="00514777" w:rsidRPr="00493DB6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rPr>
                <w:lang w:val="uk-UA"/>
              </w:rPr>
            </w:pPr>
          </w:p>
          <w:p w:rsidR="00514777" w:rsidRDefault="00234F97" w:rsidP="00234F97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en-US"/>
              </w:rPr>
              <w:t>20</w:t>
            </w:r>
            <w:bookmarkStart w:id="0" w:name="_GoBack"/>
            <w:bookmarkEnd w:id="0"/>
            <w:r w:rsidR="00493DB6">
              <w:rPr>
                <w:lang w:val="uk-UA"/>
              </w:rPr>
              <w:t>» квітня</w:t>
            </w:r>
            <w:r w:rsidR="00514777">
              <w:rPr>
                <w:lang w:val="uk-UA"/>
              </w:rPr>
              <w:t xml:space="preserve"> 202</w:t>
            </w:r>
            <w:r w:rsidR="00485F0E">
              <w:rPr>
                <w:lang w:val="uk-UA"/>
              </w:rPr>
              <w:t>6</w:t>
            </w:r>
            <w:r w:rsidR="00514777">
              <w:rPr>
                <w:lang w:val="uk-UA"/>
              </w:rPr>
              <w:t xml:space="preserve"> року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20ED3" w:rsidRPr="00D706DB" w:rsidRDefault="00720ED3" w:rsidP="00720ED3">
      <w:pPr>
        <w:jc w:val="center"/>
        <w:rPr>
          <w:b/>
          <w:sz w:val="20"/>
          <w:szCs w:val="20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57"/>
        <w:gridCol w:w="5068"/>
      </w:tblGrid>
      <w:tr w:rsidR="00720ED3" w:rsidRPr="00A252F1" w:rsidTr="00485F0E">
        <w:tc>
          <w:tcPr>
            <w:tcW w:w="696" w:type="dxa"/>
            <w:shd w:val="clear" w:color="auto" w:fill="auto"/>
            <w:vAlign w:val="center"/>
          </w:tcPr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ХАРАКТЕРИСТИКА ПОСАДИ</w:t>
            </w:r>
          </w:p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720ED3" w:rsidRPr="00A252F1" w:rsidTr="00485F0E">
        <w:tc>
          <w:tcPr>
            <w:tcW w:w="696" w:type="dxa"/>
            <w:shd w:val="clear" w:color="auto" w:fill="auto"/>
          </w:tcPr>
          <w:p w:rsidR="00720ED3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720ED3" w:rsidRPr="00A252F1" w:rsidRDefault="00720ED3" w:rsidP="00FB28C9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68" w:type="dxa"/>
            <w:shd w:val="clear" w:color="auto" w:fill="auto"/>
          </w:tcPr>
          <w:p w:rsidR="00720ED3" w:rsidRPr="00A252F1" w:rsidRDefault="004527FA" w:rsidP="00FB28C9">
            <w:pPr>
              <w:jc w:val="both"/>
              <w:rPr>
                <w:lang w:val="uk-UA"/>
              </w:rPr>
            </w:pPr>
            <w:r w:rsidRPr="00A252F1">
              <w:rPr>
                <w:lang w:val="uk-UA"/>
              </w:rPr>
              <w:t>Національне антикорупційне бюро України</w:t>
            </w:r>
          </w:p>
        </w:tc>
      </w:tr>
      <w:tr w:rsidR="004527FA" w:rsidRPr="00470A38" w:rsidTr="00485F0E">
        <w:trPr>
          <w:trHeight w:val="512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421611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структурного підрозділу</w:t>
            </w:r>
          </w:p>
          <w:p w:rsidR="004527FA" w:rsidRPr="00A252F1" w:rsidRDefault="004527FA" w:rsidP="00421611">
            <w:pPr>
              <w:rPr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527FA" w:rsidRPr="00A252F1" w:rsidRDefault="00493DB6" w:rsidP="00493D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сектор </w:t>
            </w:r>
            <w:r w:rsidRPr="00493DB6">
              <w:rPr>
                <w:lang w:val="uk-UA"/>
              </w:rPr>
              <w:t xml:space="preserve">бухгалтерського обліку грошових коштів та речових доказів </w:t>
            </w:r>
            <w:r>
              <w:rPr>
                <w:lang w:val="uk-UA"/>
              </w:rPr>
              <w:t>в</w:t>
            </w:r>
            <w:r w:rsidR="00D706DB" w:rsidRPr="00A252F1">
              <w:rPr>
                <w:lang w:val="uk-UA"/>
              </w:rPr>
              <w:t>ідділ</w:t>
            </w:r>
            <w:r>
              <w:rPr>
                <w:lang w:val="uk-UA"/>
              </w:rPr>
              <w:t>у</w:t>
            </w:r>
            <w:r w:rsidR="00D706DB" w:rsidRPr="00A252F1">
              <w:rPr>
                <w:lang w:val="uk-UA"/>
              </w:rPr>
              <w:t xml:space="preserve"> </w:t>
            </w:r>
            <w:r w:rsidR="00132994" w:rsidRPr="00A252F1">
              <w:rPr>
                <w:lang w:val="uk-UA"/>
              </w:rPr>
              <w:t xml:space="preserve">нарахування і виплат заробітної плати та звітності </w:t>
            </w:r>
            <w:r w:rsidR="004527FA" w:rsidRPr="00A252F1">
              <w:rPr>
                <w:lang w:val="uk-UA"/>
              </w:rPr>
              <w:t>Управління бухгалтерського обліку та звітності Національного антикорупційного бюро України</w:t>
            </w:r>
          </w:p>
        </w:tc>
      </w:tr>
      <w:tr w:rsidR="004527FA" w:rsidRPr="00470A38" w:rsidTr="00485F0E">
        <w:trPr>
          <w:trHeight w:val="309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493DB6" w:rsidRDefault="00493DB6" w:rsidP="00493D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завідувач сектору </w:t>
            </w:r>
            <w:r w:rsidRPr="00493DB6">
              <w:rPr>
                <w:lang w:val="uk-UA"/>
              </w:rPr>
              <w:t>бухгалтерського обліку грошових коштів та речових доказів</w:t>
            </w:r>
            <w:r w:rsidR="002B3E7B" w:rsidRPr="00DC13C8">
              <w:rPr>
                <w:lang w:val="uk-UA"/>
              </w:rPr>
              <w:t xml:space="preserve"> </w:t>
            </w:r>
            <w:r w:rsidR="002B3E7B">
              <w:rPr>
                <w:lang w:val="uk-UA"/>
              </w:rPr>
              <w:t xml:space="preserve">відділу </w:t>
            </w:r>
            <w:r w:rsidR="002B3E7B" w:rsidRPr="00132994">
              <w:rPr>
                <w:lang w:val="uk-UA"/>
              </w:rPr>
              <w:t>нарахування і виплат заробітної плати та звітності</w:t>
            </w:r>
            <w:r w:rsidR="002B3E7B">
              <w:rPr>
                <w:lang w:val="uk-UA"/>
              </w:rPr>
              <w:t xml:space="preserve"> Управління </w:t>
            </w:r>
            <w:r w:rsidR="002B3E7B" w:rsidRPr="00DC13C8">
              <w:rPr>
                <w:lang w:val="uk-UA"/>
              </w:rPr>
              <w:t>бухгалтерського обліку та</w:t>
            </w:r>
            <w:r w:rsidR="002B3E7B" w:rsidRPr="00C673FA">
              <w:rPr>
                <w:lang w:val="uk-UA"/>
              </w:rPr>
              <w:t xml:space="preserve"> </w:t>
            </w:r>
            <w:r w:rsidR="002B3E7B">
              <w:rPr>
                <w:lang w:val="uk-UA"/>
              </w:rPr>
              <w:t xml:space="preserve">звітності  </w:t>
            </w:r>
          </w:p>
        </w:tc>
      </w:tr>
      <w:tr w:rsidR="004527FA" w:rsidRPr="00A252F1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Категорія посади 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FF03C0" w:rsidP="00D22DCB">
            <w:pPr>
              <w:rPr>
                <w:lang w:val="uk-UA"/>
              </w:rPr>
            </w:pPr>
            <w:r w:rsidRPr="00A252F1">
              <w:rPr>
                <w:lang w:val="uk-UA"/>
              </w:rPr>
              <w:t>«</w:t>
            </w:r>
            <w:r w:rsidR="00D22DCB">
              <w:rPr>
                <w:lang w:val="uk-UA"/>
              </w:rPr>
              <w:t>Б</w:t>
            </w:r>
            <w:r w:rsidRPr="00A252F1">
              <w:rPr>
                <w:lang w:val="uk-UA"/>
              </w:rPr>
              <w:t>»</w:t>
            </w:r>
          </w:p>
        </w:tc>
      </w:tr>
      <w:tr w:rsidR="004527FA" w:rsidRPr="00470A38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Мета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8A7859" w:rsidP="00493D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</w:t>
            </w:r>
            <w:r w:rsidR="008115B1">
              <w:rPr>
                <w:lang w:val="uk-UA"/>
              </w:rPr>
              <w:t>, забезпечення</w:t>
            </w:r>
            <w:r w:rsidR="00D22DCB">
              <w:rPr>
                <w:lang w:val="uk-UA"/>
              </w:rPr>
              <w:t xml:space="preserve"> </w:t>
            </w:r>
            <w:r w:rsidR="00A0728B">
              <w:rPr>
                <w:lang w:val="uk-UA"/>
              </w:rPr>
              <w:t>роботи та контроль</w:t>
            </w:r>
            <w:r w:rsidR="00D22DCB">
              <w:rPr>
                <w:lang w:val="uk-UA"/>
              </w:rPr>
              <w:t xml:space="preserve"> за</w:t>
            </w:r>
            <w:r w:rsidR="00A0728B">
              <w:rPr>
                <w:lang w:val="uk-UA"/>
              </w:rPr>
              <w:t xml:space="preserve"> виконанням завдань, функцій покладених</w:t>
            </w:r>
            <w:r w:rsidR="00493DB6">
              <w:rPr>
                <w:lang w:val="uk-UA"/>
              </w:rPr>
              <w:t xml:space="preserve"> на сектор </w:t>
            </w:r>
            <w:r w:rsidR="00493DB6" w:rsidRPr="00493DB6">
              <w:rPr>
                <w:lang w:val="uk-UA"/>
              </w:rPr>
              <w:t xml:space="preserve">бухгалтерського обліку грошових коштів та речових доказів </w:t>
            </w:r>
            <w:r w:rsidR="00C837F1">
              <w:rPr>
                <w:lang w:val="uk-UA"/>
              </w:rPr>
              <w:t>відділ</w:t>
            </w:r>
            <w:r w:rsidR="00493DB6">
              <w:rPr>
                <w:lang w:val="uk-UA"/>
              </w:rPr>
              <w:t>у</w:t>
            </w:r>
            <w:r w:rsidR="00C837F1">
              <w:rPr>
                <w:lang w:val="uk-UA"/>
              </w:rPr>
              <w:t xml:space="preserve"> нарахування і виплат</w:t>
            </w:r>
            <w:r w:rsidR="00A0728B">
              <w:rPr>
                <w:lang w:val="uk-UA"/>
              </w:rPr>
              <w:t xml:space="preserve"> заробітної плати та звітності Управління бухгалтерського обліку та звітності </w:t>
            </w:r>
          </w:p>
        </w:tc>
      </w:tr>
      <w:tr w:rsidR="009F54FB" w:rsidRPr="00D22DCB" w:rsidTr="00485F0E">
        <w:tc>
          <w:tcPr>
            <w:tcW w:w="696" w:type="dxa"/>
            <w:shd w:val="clear" w:color="auto" w:fill="auto"/>
          </w:tcPr>
          <w:p w:rsidR="009F54FB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068" w:type="dxa"/>
            <w:shd w:val="clear" w:color="auto" w:fill="auto"/>
          </w:tcPr>
          <w:p w:rsidR="007547AB" w:rsidRPr="00F41D27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 xml:space="preserve">забезпечення </w:t>
            </w:r>
            <w:r w:rsidR="008A7859" w:rsidRPr="00F41D27">
              <w:rPr>
                <w:lang w:val="uk-UA"/>
              </w:rPr>
              <w:t xml:space="preserve">організації </w:t>
            </w:r>
            <w:r w:rsidR="00A0728B" w:rsidRPr="00F41D27">
              <w:rPr>
                <w:lang w:val="uk-UA"/>
              </w:rPr>
              <w:t xml:space="preserve">роботи </w:t>
            </w:r>
            <w:r w:rsidR="008A7859" w:rsidRPr="00F41D27">
              <w:rPr>
                <w:lang w:val="uk-UA"/>
              </w:rPr>
              <w:t xml:space="preserve">та </w:t>
            </w:r>
            <w:r w:rsidRPr="00F41D27">
              <w:rPr>
                <w:lang w:val="uk-UA"/>
              </w:rPr>
              <w:t xml:space="preserve">контролю за здійсненням </w:t>
            </w:r>
            <w:r w:rsidR="00A0728B" w:rsidRPr="00F41D27">
              <w:rPr>
                <w:lang w:val="uk-UA"/>
              </w:rPr>
              <w:t xml:space="preserve">ведення </w:t>
            </w:r>
            <w:r w:rsidR="005430A9" w:rsidRPr="00F41D27">
              <w:rPr>
                <w:lang w:val="uk-UA"/>
              </w:rPr>
              <w:t xml:space="preserve">бухгалтерського </w:t>
            </w:r>
            <w:r w:rsidR="00A0728B" w:rsidRPr="00F41D27">
              <w:rPr>
                <w:lang w:val="uk-UA"/>
              </w:rPr>
              <w:t xml:space="preserve">обліку </w:t>
            </w:r>
            <w:r w:rsidR="007547AB" w:rsidRPr="00F41D27">
              <w:rPr>
                <w:lang w:val="uk-UA"/>
              </w:rPr>
              <w:t>відповідно до вимог нормативно-правових актів щодо ведення бухгалтерського обліку з використанням наявної в Національному бюро уніфікованої автоматизованої системи бухгалтерського обліку та звітності;</w:t>
            </w:r>
          </w:p>
          <w:p w:rsidR="007547AB" w:rsidRPr="00F41D27" w:rsidRDefault="008115B1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 xml:space="preserve">забезпечення здійснення операцій з прийому, обліку, видачі та зберігання грошових коштів (в національній та іноземних валютах) із забезпеченням лімітного залишку коштів у касі та веденням на основі прибуткових і видаткових документів касової книги, контролювання фактичної наявності грошових сум з книжковим залишком (в національній та іноземних валютах). Забезпечення контролю </w:t>
            </w:r>
            <w:r w:rsidRPr="00F41D27">
              <w:rPr>
                <w:lang w:val="uk-UA"/>
              </w:rPr>
              <w:lastRenderedPageBreak/>
              <w:t>за складанням Меморіального ордеру № 1 «Накопичувальна відомість за касовими операціями», Картки аналітичного обліку касових видатків</w:t>
            </w:r>
            <w:r w:rsidR="009C2B49" w:rsidRPr="00F41D27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6B7C71" w:rsidRPr="00F41D27" w:rsidRDefault="006B7C71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color w:val="000000"/>
                <w:lang w:val="uk-UA"/>
              </w:rPr>
              <w:t xml:space="preserve">забезпечення </w:t>
            </w:r>
            <w:r w:rsidR="00BE53A3" w:rsidRPr="00F41D27">
              <w:rPr>
                <w:color w:val="000000"/>
                <w:lang w:val="uk-UA"/>
              </w:rPr>
              <w:t xml:space="preserve">дотримання вимог бюджетного законодавства під час </w:t>
            </w:r>
            <w:r w:rsidRPr="00F41D27">
              <w:rPr>
                <w:color w:val="000000"/>
                <w:lang w:val="uk-UA"/>
              </w:rPr>
              <w:t xml:space="preserve">формування та подання до Державної казначейської служби України бюджетних та бюджетних фінансових зобов’язань </w:t>
            </w:r>
            <w:r w:rsidR="0057563A" w:rsidRPr="00F41D27">
              <w:rPr>
                <w:color w:val="000000"/>
                <w:lang w:val="uk-UA"/>
              </w:rPr>
              <w:t>розпорядників (одержувачів) бюджетних коштів, платіжних інструкцій (в системі дистанційного обслуговування програмно-технічного комплексу «Клієнт Казначейства – Казначейство»;</w:t>
            </w:r>
          </w:p>
          <w:p w:rsidR="008115B1" w:rsidRPr="00F41D27" w:rsidRDefault="008115B1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>забезпечення контролю за отриманням готівкових коштів які визнані речовими доказами та не містять слідів кримінального правопорушення, оформлення</w:t>
            </w:r>
            <w:r w:rsidR="00F41D27" w:rsidRPr="00F41D27">
              <w:rPr>
                <w:lang w:val="uk-UA"/>
              </w:rPr>
              <w:t>м</w:t>
            </w:r>
            <w:r w:rsidRPr="00F41D27">
              <w:rPr>
                <w:lang w:val="uk-UA"/>
              </w:rPr>
              <w:t xml:space="preserve"> документів для зарахування їх на депозитний рахунок Національного бюро та повернення у випадку</w:t>
            </w:r>
            <w:r w:rsidR="00F41D27" w:rsidRPr="00F41D27">
              <w:rPr>
                <w:lang w:val="uk-UA"/>
              </w:rPr>
              <w:t xml:space="preserve"> прийняття відповідного процесуального рішення. Забезпечення аналітичного обліку коштів за видами валют.</w:t>
            </w:r>
          </w:p>
          <w:p w:rsidR="00F41D27" w:rsidRPr="00F41D27" w:rsidRDefault="00F41D27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>забезпечення контролю за отриманням, реєстрації упаковок з речовими доказами, які містять сліди кримінального правопорушення від працівників Національного бюро, здача їх до індивідуальних сейфів уповноважених банків та повернення їх. Забезпечення перевірки меморіального ордеру № 16 «Накопичувальна відомість позабалансового обліку»;</w:t>
            </w:r>
          </w:p>
          <w:p w:rsidR="00D22DCB" w:rsidRPr="00F41D27" w:rsidRDefault="00C957C4" w:rsidP="00F41D27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>забезпечення контролю за здійсненням видачі коштів фонду оперативно-розшукових (негласних слідчих) дій Національного бюро</w:t>
            </w:r>
            <w:r w:rsidR="00BE53A3" w:rsidRPr="00F41D27">
              <w:rPr>
                <w:lang w:val="uk-UA"/>
              </w:rPr>
              <w:t xml:space="preserve"> та перевірка </w:t>
            </w:r>
            <w:r w:rsidR="00F41D27" w:rsidRPr="00F41D27">
              <w:rPr>
                <w:lang w:val="uk-UA"/>
              </w:rPr>
              <w:t>Звітів про використання оперативних коштів. Забезпечення ведення бухгалтерського та аналітичного обліку коштів, виданих під звіт. Забезпечення складання та ведення Меморіального ордеру № 8 «Накопичувальна відомість за розрахунками з підзвітними особами»</w:t>
            </w:r>
            <w:r w:rsidR="00485F0E" w:rsidRPr="00F41D27">
              <w:rPr>
                <w:lang w:val="uk-UA"/>
              </w:rPr>
              <w:t>;</w:t>
            </w:r>
          </w:p>
          <w:p w:rsidR="0057563A" w:rsidRPr="00F41D27" w:rsidRDefault="00F41D27" w:rsidP="0057563A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lang w:val="uk-UA"/>
              </w:rPr>
              <w:t>забезпечення оприбуткування матеріальних цінностей, які придбанні за кошти фонду оперативно-розшукових (негласних слідчих) дій Національного бюро</w:t>
            </w:r>
            <w:r w:rsidR="0057563A" w:rsidRPr="00F41D27">
              <w:rPr>
                <w:lang w:val="uk-UA"/>
              </w:rPr>
              <w:t>;</w:t>
            </w:r>
          </w:p>
          <w:p w:rsidR="00E607FB" w:rsidRPr="00F41D27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F41D27">
              <w:rPr>
                <w:color w:val="000000"/>
                <w:lang w:val="uk-UA"/>
              </w:rPr>
              <w:t>забезпечення зберігання первинних документів, облікових регістрів та звітів.</w:t>
            </w:r>
          </w:p>
        </w:tc>
      </w:tr>
    </w:tbl>
    <w:p w:rsidR="00F41D27" w:rsidRDefault="00F41D27">
      <w:r>
        <w:lastRenderedPageBreak/>
        <w:br w:type="page"/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57"/>
        <w:gridCol w:w="5068"/>
      </w:tblGrid>
      <w:tr w:rsidR="009F54FB" w:rsidRPr="00A252F1" w:rsidTr="00C837F1">
        <w:trPr>
          <w:trHeight w:val="555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КВАЛІФІКАЦІЙНІ ВИМОГИ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9F54FB" w:rsidP="009F54FB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A252F1">
              <w:rPr>
                <w:i/>
                <w:lang w:val="uk-UA"/>
              </w:rPr>
              <w:t>Загальні вимоги</w:t>
            </w:r>
          </w:p>
        </w:tc>
      </w:tr>
      <w:tr w:rsidR="00CD697C" w:rsidRPr="00A252F1" w:rsidTr="00485F0E">
        <w:tc>
          <w:tcPr>
            <w:tcW w:w="696" w:type="dxa"/>
            <w:vMerge w:val="restart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1.1.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Освіта</w:t>
            </w:r>
          </w:p>
        </w:tc>
        <w:tc>
          <w:tcPr>
            <w:tcW w:w="5068" w:type="dxa"/>
            <w:shd w:val="clear" w:color="auto" w:fill="auto"/>
          </w:tcPr>
          <w:p w:rsidR="00CD697C" w:rsidRPr="00731F7B" w:rsidRDefault="00CD697C" w:rsidP="00CD697C">
            <w:pPr>
              <w:rPr>
                <w:lang w:val="uk-UA"/>
              </w:rPr>
            </w:pPr>
            <w:r w:rsidRPr="00A45945">
              <w:rPr>
                <w:color w:val="000000"/>
                <w:shd w:val="clear" w:color="auto" w:fill="FFFFFF"/>
                <w:lang w:val="uk-UA"/>
              </w:rPr>
              <w:t>Вища економічна</w:t>
            </w:r>
            <w:r w:rsidR="00A45945">
              <w:rPr>
                <w:color w:val="000000"/>
                <w:shd w:val="clear" w:color="auto" w:fill="FFFFFF"/>
                <w:lang w:val="uk-UA"/>
              </w:rPr>
              <w:t xml:space="preserve"> освіта</w:t>
            </w:r>
          </w:p>
        </w:tc>
      </w:tr>
      <w:tr w:rsidR="00CD697C" w:rsidRPr="00A252F1" w:rsidTr="00485F0E">
        <w:tc>
          <w:tcPr>
            <w:tcW w:w="696" w:type="dxa"/>
            <w:vMerge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Ступінь вищої освіти</w:t>
            </w:r>
          </w:p>
        </w:tc>
        <w:tc>
          <w:tcPr>
            <w:tcW w:w="5068" w:type="dxa"/>
            <w:shd w:val="clear" w:color="auto" w:fill="auto"/>
          </w:tcPr>
          <w:p w:rsidR="00CD697C" w:rsidRPr="00A45945" w:rsidRDefault="00A45945" w:rsidP="00CD697C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 w:rsidRPr="00A45945">
              <w:rPr>
                <w:lang w:val="uk-UA"/>
              </w:rPr>
              <w:t>Магістр (</w:t>
            </w:r>
            <w:r w:rsidR="00AE636B">
              <w:rPr>
                <w:lang w:val="uk-UA"/>
              </w:rPr>
              <w:t>спеціаліст).</w:t>
            </w:r>
          </w:p>
          <w:p w:rsidR="00CD697C" w:rsidRPr="00731F7B" w:rsidRDefault="00CD697C" w:rsidP="00CD697C">
            <w:pPr>
              <w:rPr>
                <w:lang w:val="uk-UA"/>
              </w:rPr>
            </w:pP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00682D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Стаж роботи </w:t>
            </w:r>
            <w:r w:rsidRPr="00A252F1">
              <w:rPr>
                <w:lang w:val="uk-UA" w:eastAsia="uk-UA"/>
              </w:rPr>
              <w:t xml:space="preserve">(тривалість у роках, </w:t>
            </w:r>
            <w:r w:rsidR="0000682D">
              <w:rPr>
                <w:lang w:val="uk-UA" w:eastAsia="uk-UA"/>
              </w:rPr>
              <w:t>зокрема</w:t>
            </w:r>
            <w:r w:rsidRPr="00A252F1">
              <w:rPr>
                <w:lang w:val="uk-UA" w:eastAsia="uk-UA"/>
              </w:rPr>
              <w:t xml:space="preserve"> на посадах певної категорії)</w:t>
            </w:r>
          </w:p>
        </w:tc>
        <w:tc>
          <w:tcPr>
            <w:tcW w:w="5068" w:type="dxa"/>
            <w:shd w:val="clear" w:color="auto" w:fill="auto"/>
          </w:tcPr>
          <w:p w:rsidR="00CD697C" w:rsidRPr="00B20211" w:rsidRDefault="00A45945" w:rsidP="00345015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 w:rsidR="009C2B49">
              <w:rPr>
                <w:lang w:val="uk-UA"/>
              </w:rPr>
              <w:t xml:space="preserve">протягом </w:t>
            </w:r>
            <w:r w:rsidR="00493DB6">
              <w:rPr>
                <w:lang w:val="uk-UA"/>
              </w:rPr>
              <w:t>п’яти</w:t>
            </w:r>
            <w:r w:rsidR="00485F0E">
              <w:rPr>
                <w:lang w:val="uk-UA"/>
              </w:rPr>
              <w:t xml:space="preserve"> </w:t>
            </w:r>
            <w:r w:rsidR="00CD697C" w:rsidRPr="00F66C2D">
              <w:rPr>
                <w:lang w:val="uk-UA"/>
              </w:rPr>
              <w:t>років</w:t>
            </w:r>
            <w:r w:rsidR="00CD697C">
              <w:rPr>
                <w:lang w:val="uk-UA"/>
              </w:rPr>
              <w:t xml:space="preserve"> у</w:t>
            </w:r>
            <w:r w:rsidR="00CD697C" w:rsidRPr="00731F7B">
              <w:rPr>
                <w:lang w:val="uk-UA"/>
              </w:rPr>
              <w:t xml:space="preserve"> сфері </w:t>
            </w:r>
            <w:r w:rsidR="00CD697C">
              <w:rPr>
                <w:lang w:val="uk-UA"/>
              </w:rPr>
              <w:t xml:space="preserve">бухгалтерського обліку та звітності </w:t>
            </w:r>
            <w:r w:rsidR="00485F0E">
              <w:rPr>
                <w:lang w:val="uk-UA"/>
              </w:rPr>
              <w:t xml:space="preserve">у тому числі на керівних посадах не менше </w:t>
            </w:r>
            <w:r w:rsidR="00345015">
              <w:rPr>
                <w:lang w:val="uk-UA"/>
              </w:rPr>
              <w:t>двох</w:t>
            </w:r>
            <w:r w:rsidR="00485F0E">
              <w:rPr>
                <w:lang w:val="uk-UA"/>
              </w:rPr>
              <w:t xml:space="preserve"> років.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державною мовою</w:t>
            </w:r>
          </w:p>
        </w:tc>
        <w:tc>
          <w:tcPr>
            <w:tcW w:w="5068" w:type="dxa"/>
            <w:shd w:val="clear" w:color="auto" w:fill="auto"/>
          </w:tcPr>
          <w:p w:rsidR="00CD697C" w:rsidRPr="00F66C2D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іноземними мовами</w:t>
            </w:r>
          </w:p>
        </w:tc>
        <w:tc>
          <w:tcPr>
            <w:tcW w:w="5068" w:type="dxa"/>
            <w:shd w:val="clear" w:color="auto" w:fill="auto"/>
          </w:tcPr>
          <w:p w:rsidR="00CD697C" w:rsidRPr="00345015" w:rsidRDefault="00345015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 додатковою перевагою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68" w:type="dxa"/>
            <w:shd w:val="clear" w:color="auto" w:fill="auto"/>
          </w:tcPr>
          <w:p w:rsidR="00CD697C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CD697C" w:rsidRPr="0034262F" w:rsidRDefault="00CD697C" w:rsidP="00CD697C">
            <w:pPr>
              <w:pStyle w:val="a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 w:rsidR="00A45945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вого проведення конкурсу щороку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485F0E" w:rsidP="009F54FB">
            <w:pPr>
              <w:jc w:val="center"/>
              <w:rPr>
                <w:i/>
                <w:lang w:val="uk-UA"/>
              </w:rPr>
            </w:pPr>
            <w:r>
              <w:br w:type="page"/>
            </w:r>
            <w:r w:rsidR="009F54FB" w:rsidRPr="00A252F1">
              <w:rPr>
                <w:i/>
                <w:lang w:val="uk-UA"/>
              </w:rPr>
              <w:t>2. Спеціальні вимоги</w:t>
            </w:r>
          </w:p>
        </w:tc>
      </w:tr>
      <w:tr w:rsidR="009F54FB" w:rsidRPr="003D493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68" w:type="dxa"/>
            <w:shd w:val="clear" w:color="auto" w:fill="auto"/>
          </w:tcPr>
          <w:p w:rsidR="00A45945" w:rsidRPr="00A252F1" w:rsidRDefault="00A45945" w:rsidP="00F96F44">
            <w:pPr>
              <w:jc w:val="both"/>
              <w:rPr>
                <w:lang w:val="uk-UA"/>
              </w:rPr>
            </w:pPr>
            <w:r w:rsidRPr="00CD4591">
              <w:rPr>
                <w:color w:val="000000" w:themeColor="text1"/>
                <w:lang w:val="uk-UA"/>
              </w:rPr>
              <w:t>Облік і оподаткування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; фінанси, банківська справа, </w:t>
            </w:r>
            <w:r w:rsidRPr="00CD4591">
              <w:rPr>
                <w:color w:val="000000" w:themeColor="text1"/>
                <w:lang w:val="uk-UA"/>
              </w:rPr>
              <w:t>страхування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 та фондовий ринок</w:t>
            </w:r>
            <w:r w:rsidRPr="00CD4591">
              <w:rPr>
                <w:color w:val="000000" w:themeColor="text1"/>
                <w:lang w:val="uk-UA"/>
              </w:rPr>
              <w:t xml:space="preserve">; менеджмент; </w:t>
            </w:r>
            <w:r w:rsidR="00CD4591" w:rsidRPr="00CD4591">
              <w:rPr>
                <w:color w:val="000000" w:themeColor="text1"/>
                <w:lang w:val="uk-UA"/>
              </w:rPr>
              <w:t>торгівля</w:t>
            </w:r>
            <w:r w:rsidRPr="00CD4591">
              <w:rPr>
                <w:color w:val="000000" w:themeColor="text1"/>
                <w:lang w:val="uk-UA"/>
              </w:rPr>
              <w:t>; економіка</w:t>
            </w:r>
          </w:p>
        </w:tc>
      </w:tr>
      <w:tr w:rsidR="009F54FB" w:rsidRPr="00470A3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485F0E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68" w:type="dxa"/>
            <w:shd w:val="clear" w:color="auto" w:fill="auto"/>
          </w:tcPr>
          <w:p w:rsidR="009F54FB" w:rsidRPr="00AC4443" w:rsidRDefault="00CD697C" w:rsidP="00470A38">
            <w:pPr>
              <w:jc w:val="both"/>
              <w:rPr>
                <w:lang w:val="uk-UA"/>
              </w:rPr>
            </w:pPr>
            <w:r w:rsidRPr="00731F7B">
              <w:rPr>
                <w:lang w:val="uk-UA"/>
              </w:rPr>
              <w:t xml:space="preserve">Досвід роботи в сфері </w:t>
            </w:r>
            <w:r>
              <w:rPr>
                <w:lang w:val="uk-UA"/>
              </w:rPr>
              <w:t>бухгалтерського обліку т</w:t>
            </w:r>
            <w:r w:rsidR="00A45945">
              <w:rPr>
                <w:lang w:val="uk-UA"/>
              </w:rPr>
              <w:t xml:space="preserve">а звітності </w:t>
            </w:r>
            <w:r w:rsidR="008A7859">
              <w:rPr>
                <w:lang w:val="uk-UA"/>
              </w:rPr>
              <w:t xml:space="preserve">у державному секторі не менше </w:t>
            </w:r>
            <w:r w:rsidR="00345015">
              <w:rPr>
                <w:lang w:val="uk-UA"/>
              </w:rPr>
              <w:t>трьох</w:t>
            </w:r>
            <w:r w:rsidR="00485F0E">
              <w:rPr>
                <w:lang w:val="uk-UA"/>
              </w:rPr>
              <w:t xml:space="preserve"> </w:t>
            </w:r>
            <w:r w:rsidR="00485F0E" w:rsidRPr="00F66C2D">
              <w:rPr>
                <w:lang w:val="uk-UA"/>
              </w:rPr>
              <w:t>років</w:t>
            </w:r>
            <w:r w:rsidR="00A45945">
              <w:rPr>
                <w:lang w:val="uk-UA"/>
              </w:rPr>
              <w:t xml:space="preserve">, у тому числі з питань </w:t>
            </w:r>
            <w:r w:rsidR="00AC4443" w:rsidRPr="00A675DA">
              <w:rPr>
                <w:lang w:val="uk-UA"/>
              </w:rPr>
              <w:t>ведення операці</w:t>
            </w:r>
            <w:r w:rsidR="00AC4443">
              <w:rPr>
                <w:lang w:val="uk-UA"/>
              </w:rPr>
              <w:t>й по прийому, обліку, видачі та</w:t>
            </w:r>
            <w:r w:rsidR="00AC4443" w:rsidRPr="00A675DA">
              <w:rPr>
                <w:lang w:val="uk-UA"/>
              </w:rPr>
              <w:t xml:space="preserve"> зберігання грошових коштів як </w:t>
            </w:r>
            <w:r w:rsidR="00AC4443">
              <w:rPr>
                <w:lang w:val="uk-UA"/>
              </w:rPr>
              <w:t>в</w:t>
            </w:r>
            <w:r w:rsidR="00AC4443" w:rsidRPr="00A675DA">
              <w:rPr>
                <w:lang w:val="uk-UA"/>
              </w:rPr>
              <w:t xml:space="preserve"> національній</w:t>
            </w:r>
            <w:r w:rsidR="00470A38">
              <w:rPr>
                <w:lang w:val="uk-UA"/>
              </w:rPr>
              <w:t>,</w:t>
            </w:r>
            <w:r w:rsidR="00AC4443" w:rsidRPr="00A675DA">
              <w:rPr>
                <w:lang w:val="uk-UA"/>
              </w:rPr>
              <w:t xml:space="preserve"> так і в іноземних валютах</w:t>
            </w:r>
            <w:r w:rsidR="00470A38">
              <w:rPr>
                <w:lang w:val="uk-UA"/>
              </w:rPr>
              <w:t>, та бухгалтерського обліку за</w:t>
            </w:r>
            <w:r w:rsidR="00345015">
              <w:rPr>
                <w:lang w:val="uk-UA"/>
              </w:rPr>
              <w:t xml:space="preserve"> депозитними операціями</w:t>
            </w:r>
            <w:r w:rsidR="00470A38">
              <w:rPr>
                <w:lang w:val="uk-UA"/>
              </w:rPr>
              <w:t>.</w:t>
            </w:r>
          </w:p>
        </w:tc>
      </w:tr>
      <w:tr w:rsidR="009F54FB" w:rsidRPr="00470A3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68" w:type="dxa"/>
            <w:shd w:val="clear" w:color="auto" w:fill="auto"/>
          </w:tcPr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F94377" w:rsidRPr="00C41632" w:rsidRDefault="00CD697C" w:rsidP="00F9437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9C2B49" w:rsidRPr="00AC4443" w:rsidRDefault="009C2B49" w:rsidP="00F9437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КМУ від 19.11.2012 №1104</w:t>
            </w:r>
            <w:r w:rsid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163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41632" w:rsidRPr="00C4163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Про реалізацію окремих положень Кримінального процесуального кодексу України»</w:t>
            </w:r>
            <w:r w:rsidR="00AC444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AC4443" w:rsidRPr="00C41632" w:rsidRDefault="00AC4443" w:rsidP="00AC444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Постанова Правління НБУ від 29.12.2017 № 148 «</w:t>
            </w:r>
            <w:r w:rsidRPr="00AC444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Положення про ведення касових операцій у національній валюті в Україні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»;</w:t>
            </w:r>
          </w:p>
          <w:p w:rsidR="009F54FB" w:rsidRPr="00C41632" w:rsidRDefault="00CD697C" w:rsidP="00AC444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закони, інші 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нормативні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акти з питань ведення бухгалтерського обліку, у тому числі нормативно-правові акти Національного банку, національні положення (стандарти) бухгалтерського обліку в державному секторі, нормативно-правові акти Мінфіну щодо порядку веденн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я бухгалтерського обліку, склада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(стандартів) бухгалтерсько</w:t>
            </w:r>
            <w:r w:rsidR="00AC4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 w:rsidR="00AC44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обліку в державному секторі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94377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розрахунків з підзвітними особами</w:t>
            </w:r>
            <w:r w:rsidR="00AC44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lastRenderedPageBreak/>
              <w:t>2.4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Професійні знання (</w:t>
            </w:r>
            <w:r w:rsidRPr="00A252F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8A7859">
              <w:rPr>
                <w:lang w:val="uk-UA"/>
              </w:rPr>
              <w:t>знання бухгалтерського обліку в державному секторі;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організація та планування роботи;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систематизація інформації;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практичне застосування нормативно-правових актів</w:t>
            </w:r>
            <w:r w:rsidR="001050CA">
              <w:rPr>
                <w:lang w:val="uk-UA"/>
              </w:rPr>
              <w:t xml:space="preserve"> та нормотворчої діяльності</w:t>
            </w:r>
            <w:r w:rsidRPr="001050CA">
              <w:rPr>
                <w:lang w:val="uk-UA"/>
              </w:rPr>
              <w:t>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порядок роботи із службовою інформацією</w:t>
            </w:r>
            <w:r w:rsidR="001050CA">
              <w:rPr>
                <w:lang w:val="uk-UA"/>
              </w:rPr>
              <w:t xml:space="preserve"> та з документами з грифом «Для службового користування» і «Таємно»</w:t>
            </w:r>
            <w:r w:rsidRPr="001050CA">
              <w:rPr>
                <w:lang w:val="uk-UA"/>
              </w:rPr>
              <w:t>;</w:t>
            </w:r>
          </w:p>
          <w:p w:rsidR="001050CA" w:rsidRPr="001050CA" w:rsidRDefault="00A45945" w:rsidP="001050CA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основи загального</w:t>
            </w:r>
            <w:r w:rsidR="00F13C81" w:rsidRPr="001050CA">
              <w:rPr>
                <w:lang w:val="uk-UA"/>
              </w:rPr>
              <w:t xml:space="preserve"> діловодства та архівної справи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Лідерство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-164" w:firstLine="141"/>
              <w:rPr>
                <w:rFonts w:ascii="Times New Roman" w:hAnsi="Times New Roman"/>
                <w:sz w:val="24"/>
                <w:szCs w:val="24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9F54FB" w:rsidRP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261" w:hanging="284"/>
              <w:rPr>
                <w:rFonts w:ascii="Times New Roman" w:hAnsi="Times New Roman"/>
                <w:sz w:val="24"/>
                <w:szCs w:val="24"/>
              </w:rPr>
            </w:pPr>
            <w:r w:rsidRPr="001050CA">
              <w:rPr>
                <w:rFonts w:ascii="Times New Roman" w:hAnsi="Times New Roman"/>
                <w:sz w:val="24"/>
                <w:szCs w:val="24"/>
              </w:rPr>
              <w:t>вміння д</w:t>
            </w:r>
            <w:r w:rsidR="001050CA">
              <w:rPr>
                <w:rFonts w:ascii="Times New Roman" w:hAnsi="Times New Roman"/>
                <w:sz w:val="24"/>
                <w:szCs w:val="24"/>
              </w:rPr>
              <w:t xml:space="preserve">опомагати колегам при вирішенні </w:t>
            </w:r>
            <w:r w:rsidRPr="001050CA">
              <w:rPr>
                <w:rFonts w:ascii="Times New Roman" w:hAnsi="Times New Roman"/>
                <w:sz w:val="24"/>
                <w:szCs w:val="24"/>
              </w:rPr>
              <w:t>складних завдань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2.6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Прийняття ефективних рішень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9F54FB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системне мислення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2.7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rPr>
                <w:lang w:val="uk-UA"/>
              </w:rPr>
            </w:pPr>
            <w:r w:rsidRPr="00A252F1">
              <w:rPr>
                <w:lang w:val="uk-UA"/>
              </w:rPr>
              <w:t>Комунікації та взаємодія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 за доручену справу</w:t>
            </w:r>
            <w:r w:rsidRPr="001050CA">
              <w:rPr>
                <w:rFonts w:ascii="Times New Roman" w:hAnsi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2.8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n98"/>
            <w:bookmarkEnd w:id="1"/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неупередженість та об’єктивність</w:t>
            </w:r>
          </w:p>
        </w:tc>
      </w:tr>
      <w:tr w:rsidR="00044D8F" w:rsidRPr="00A252F1" w:rsidTr="001050CA">
        <w:trPr>
          <w:trHeight w:val="249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2.9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F13C81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</w:t>
            </w:r>
          </w:p>
        </w:tc>
      </w:tr>
      <w:tr w:rsidR="00044D8F" w:rsidRPr="00A252F1" w:rsidTr="001050CA">
        <w:trPr>
          <w:trHeight w:val="270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1050CA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050CA">
              <w:rPr>
                <w:lang w:val="uk-UA"/>
              </w:rPr>
              <w:t>Сприйняття змін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1050CA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стійкість до стресу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1050CA" w:rsidRDefault="009F54FB" w:rsidP="009F54FB">
            <w:pPr>
              <w:rPr>
                <w:lang w:val="uk-UA"/>
              </w:rPr>
            </w:pPr>
            <w:r w:rsidRPr="001050C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68" w:type="dxa"/>
            <w:shd w:val="clear" w:color="auto" w:fill="auto"/>
          </w:tcPr>
          <w:p w:rsidR="009F54FB" w:rsidRPr="001050CA" w:rsidRDefault="009F54FB" w:rsidP="001050CA">
            <w:pPr>
              <w:pStyle w:val="a5"/>
              <w:numPr>
                <w:ilvl w:val="0"/>
                <w:numId w:val="12"/>
              </w:numPr>
              <w:tabs>
                <w:tab w:val="left" w:pos="261"/>
              </w:tabs>
              <w:ind w:left="-23" w:firstLine="23"/>
              <w:jc w:val="both"/>
              <w:rPr>
                <w:szCs w:val="16"/>
                <w:lang w:val="uk-UA"/>
              </w:rPr>
            </w:pPr>
            <w:r w:rsidRPr="001050CA">
              <w:rPr>
                <w:rFonts w:eastAsia="Calibri"/>
                <w:lang w:val="uk-UA"/>
              </w:rPr>
              <w:t xml:space="preserve">вміння використовувати </w:t>
            </w:r>
            <w:r w:rsidR="00F13C81" w:rsidRPr="001050CA">
              <w:rPr>
                <w:rFonts w:eastAsia="Calibri"/>
                <w:lang w:val="uk-UA"/>
              </w:rPr>
              <w:t xml:space="preserve">комп’ютерну, </w:t>
            </w:r>
            <w:r w:rsidRPr="001050CA">
              <w:rPr>
                <w:rFonts w:eastAsia="Calibri"/>
                <w:lang w:val="uk-UA"/>
              </w:rPr>
              <w:t>офісну техніку</w:t>
            </w:r>
            <w:r w:rsidR="00F13C81" w:rsidRPr="001050CA">
              <w:rPr>
                <w:rFonts w:eastAsia="Calibri"/>
                <w:lang w:val="uk-UA"/>
              </w:rPr>
              <w:t xml:space="preserve"> та програмне забезпечення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Del="00E7634A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Особистісні компетенції</w:t>
            </w:r>
          </w:p>
        </w:tc>
        <w:tc>
          <w:tcPr>
            <w:tcW w:w="5068" w:type="dxa"/>
            <w:shd w:val="clear" w:color="auto" w:fill="auto"/>
          </w:tcPr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добре розвинена пам'ять;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наполегливість;</w:t>
            </w:r>
          </w:p>
          <w:p w:rsid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об’єктивність;</w:t>
            </w:r>
          </w:p>
          <w:p w:rsidR="009F54FB" w:rsidRP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</w:rPr>
              <w:t>чесність та дисциплінованість</w:t>
            </w:r>
          </w:p>
        </w:tc>
      </w:tr>
      <w:tr w:rsidR="009F54FB" w:rsidRPr="00A252F1" w:rsidTr="00C837F1">
        <w:trPr>
          <w:trHeight w:val="469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caps/>
                <w:lang w:val="uk-UA"/>
              </w:rPr>
            </w:pPr>
            <w:r w:rsidRPr="00A252F1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ІНШІ ВІДОМОСТІ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5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068" w:type="dxa"/>
            <w:shd w:val="clear" w:color="auto" w:fill="auto"/>
          </w:tcPr>
          <w:p w:rsidR="00FA253E" w:rsidRPr="00FA253E" w:rsidRDefault="00FA253E" w:rsidP="00FA253E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FA253E">
              <w:rPr>
                <w:b/>
                <w:lang w:val="uk-UA"/>
              </w:rPr>
              <w:t>Особи, які бажають взяти участь у конкурсі,</w:t>
            </w:r>
            <w:r w:rsidRPr="00FA253E">
              <w:rPr>
                <w:lang w:val="uk-UA"/>
              </w:rPr>
              <w:t xml:space="preserve"> подають в електронній формі безпосередньо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бюро:</w:t>
            </w:r>
          </w:p>
          <w:p w:rsidR="00FA253E" w:rsidRDefault="00FA253E" w:rsidP="00FA25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 xml:space="preserve">заяву про участь у конкурсі встановленого зразка, підписану з використанням кваліфікованого електронного підпису </w:t>
            </w:r>
            <w:r>
              <w:rPr>
                <w:lang w:val="uk-UA"/>
              </w:rPr>
              <w:br/>
            </w:r>
            <w:r w:rsidRPr="00FA253E">
              <w:rPr>
                <w:lang w:val="uk-UA"/>
              </w:rPr>
              <w:t>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FA253E" w:rsidRDefault="00FA253E" w:rsidP="00FA25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бюро);</w:t>
            </w:r>
          </w:p>
          <w:p w:rsidR="00FA253E" w:rsidRDefault="00FA253E" w:rsidP="00FA25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 xml:space="preserve">Державний сертифікат про рівень володіння державною мовою (витяг з реєстру </w:t>
            </w:r>
            <w:r w:rsidRPr="00FA253E">
              <w:rPr>
                <w:lang w:val="uk-UA"/>
              </w:rPr>
              <w:lastRenderedPageBreak/>
              <w:t>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FA253E" w:rsidRPr="00FA253E" w:rsidRDefault="00FA253E" w:rsidP="00FA25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FA253E" w:rsidRPr="00FA253E" w:rsidRDefault="00FA253E" w:rsidP="00FA253E">
            <w:pPr>
              <w:tabs>
                <w:tab w:val="left" w:pos="273"/>
              </w:tabs>
              <w:spacing w:line="272" w:lineRule="exact"/>
              <w:ind w:firstLine="261"/>
              <w:jc w:val="both"/>
              <w:rPr>
                <w:sz w:val="16"/>
                <w:szCs w:val="16"/>
                <w:lang w:val="uk-UA"/>
              </w:rPr>
            </w:pPr>
          </w:p>
          <w:p w:rsidR="00FA253E" w:rsidRDefault="00FA253E" w:rsidP="00FA25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FA253E" w:rsidRPr="00FA253E" w:rsidRDefault="00FA253E" w:rsidP="00FA25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sz w:val="16"/>
                <w:szCs w:val="16"/>
                <w:lang w:val="uk-UA"/>
              </w:rPr>
            </w:pPr>
          </w:p>
          <w:p w:rsidR="00FA253E" w:rsidRDefault="00FA253E" w:rsidP="00FA25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FA253E" w:rsidRPr="00FA253E" w:rsidRDefault="00FA253E" w:rsidP="00FA253E">
            <w:pPr>
              <w:tabs>
                <w:tab w:val="left" w:pos="273"/>
              </w:tabs>
              <w:spacing w:line="272" w:lineRule="exact"/>
              <w:ind w:firstLine="261"/>
              <w:jc w:val="both"/>
              <w:rPr>
                <w:sz w:val="16"/>
                <w:szCs w:val="16"/>
                <w:lang w:val="uk-UA"/>
              </w:rPr>
            </w:pPr>
          </w:p>
          <w:p w:rsidR="00F13C81" w:rsidRPr="00FA253E" w:rsidRDefault="00FA253E" w:rsidP="00FA25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FA253E" w:rsidRDefault="00FA253E" w:rsidP="00FA253E">
            <w:pPr>
              <w:tabs>
                <w:tab w:val="left" w:pos="141"/>
              </w:tabs>
              <w:spacing w:line="272" w:lineRule="exact"/>
              <w:ind w:left="502"/>
              <w:jc w:val="both"/>
              <w:rPr>
                <w:b/>
                <w:lang w:val="uk-UA"/>
              </w:rPr>
            </w:pPr>
          </w:p>
          <w:p w:rsidR="00FA253E" w:rsidRDefault="00FA253E" w:rsidP="00FA253E">
            <w:pPr>
              <w:tabs>
                <w:tab w:val="left" w:pos="141"/>
              </w:tabs>
              <w:spacing w:line="272" w:lineRule="exact"/>
              <w:ind w:hanging="23"/>
              <w:jc w:val="both"/>
              <w:rPr>
                <w:lang w:val="uk-UA"/>
              </w:rPr>
            </w:pPr>
            <w:r w:rsidRPr="00FA253E">
              <w:rPr>
                <w:b/>
                <w:lang w:val="uk-UA"/>
              </w:rPr>
              <w:t>Особи, які є працівниками Національного бюро</w:t>
            </w:r>
            <w:r w:rsidRPr="00FA253E">
              <w:rPr>
                <w:lang w:val="uk-UA"/>
              </w:rPr>
              <w:t xml:space="preserve"> та бажають взяти участь у конкурсі, подають в електронній формі безпосередньо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бюро:</w:t>
            </w:r>
          </w:p>
          <w:p w:rsidR="00D16163" w:rsidRDefault="00FA253E" w:rsidP="00D16163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заяву про участь у конкурсі встановленого зразка, підписану КЕП, або письмову заяву (якщо має на те підтверджені документами підстави) (додаток 3);</w:t>
            </w:r>
          </w:p>
          <w:p w:rsidR="00D16163" w:rsidRDefault="00FA253E" w:rsidP="00D16163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D16163">
              <w:rPr>
                <w:lang w:val="uk-UA"/>
              </w:rPr>
              <w:t>вебсайт</w:t>
            </w:r>
            <w:proofErr w:type="spellEnd"/>
            <w:r w:rsidRPr="00D16163">
              <w:rPr>
                <w:lang w:val="uk-UA"/>
              </w:rPr>
              <w:t xml:space="preserve"> Національного бюро);</w:t>
            </w:r>
          </w:p>
          <w:p w:rsidR="00930EE6" w:rsidRPr="00D16163" w:rsidRDefault="00FA253E" w:rsidP="00D16163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3C81" w:rsidRDefault="00F13C81" w:rsidP="00F13C81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D16163" w:rsidRPr="00D16163" w:rsidRDefault="00D16163" w:rsidP="00D16163">
            <w:pPr>
              <w:spacing w:line="272" w:lineRule="exact"/>
              <w:ind w:left="-23" w:firstLine="142"/>
              <w:rPr>
                <w:lang w:val="uk-UA"/>
              </w:rPr>
            </w:pPr>
            <w:r w:rsidRPr="00D16163">
              <w:rPr>
                <w:lang w:val="uk-UA"/>
              </w:rPr>
              <w:lastRenderedPageBreak/>
              <w:t xml:space="preserve">Зразки заяв розміщені на офіційному </w:t>
            </w:r>
            <w:proofErr w:type="spellStart"/>
            <w:r w:rsidRPr="00D16163">
              <w:rPr>
                <w:lang w:val="uk-UA"/>
              </w:rPr>
              <w:t>вебсайті</w:t>
            </w:r>
            <w:proofErr w:type="spellEnd"/>
            <w:r w:rsidRPr="00D16163">
              <w:rPr>
                <w:lang w:val="uk-UA"/>
              </w:rPr>
              <w:t xml:space="preserve"> Національного бюро (</w:t>
            </w:r>
            <w:hyperlink r:id="rId6" w:history="1">
              <w:r w:rsidRPr="008073A4">
                <w:rPr>
                  <w:rStyle w:val="a4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D16163">
              <w:rPr>
                <w:lang w:val="uk-UA"/>
              </w:rPr>
              <w:t>(Порядок проведення відкритого конкурсу, розділ ІІІ).</w:t>
            </w:r>
          </w:p>
          <w:p w:rsidR="00D16163" w:rsidRDefault="00D16163" w:rsidP="00D16163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lang w:val="uk-UA"/>
              </w:rPr>
            </w:pPr>
          </w:p>
          <w:p w:rsidR="00044D8F" w:rsidRDefault="00D16163" w:rsidP="00D16163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</w:t>
            </w:r>
            <w:r>
              <w:rPr>
                <w:lang w:val="uk-UA"/>
              </w:rPr>
              <w:t>скається до участі в конкурсі.</w:t>
            </w:r>
          </w:p>
          <w:p w:rsidR="00D16163" w:rsidRPr="00930EE6" w:rsidRDefault="00D16163" w:rsidP="00D16163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b/>
                <w:lang w:val="uk-UA"/>
              </w:rPr>
            </w:pP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Default="0057563A" w:rsidP="0057563A">
            <w:pPr>
              <w:jc w:val="both"/>
              <w:rPr>
                <w:color w:val="000000"/>
                <w:lang w:val="uk-UA"/>
              </w:rPr>
            </w:pPr>
            <w:r>
              <w:rPr>
                <w:kern w:val="36"/>
                <w:lang w:val="uk-UA"/>
              </w:rPr>
              <w:t>Протягом 20</w:t>
            </w:r>
            <w:r w:rsidR="00044D8F">
              <w:rPr>
                <w:kern w:val="36"/>
                <w:lang w:val="uk-UA"/>
              </w:rPr>
              <w:t xml:space="preserve"> календарних днів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044D8F" w:rsidRPr="00AF58A5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Pr="00B037F1" w:rsidRDefault="00F13C81" w:rsidP="00F13C81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7" w:history="1">
              <w:r>
                <w:rPr>
                  <w:rStyle w:val="a4"/>
                </w:rPr>
                <w:t>https://nabu.gov.ua/robota-v-nabu/perelik-vakansiy/</w:t>
              </w:r>
            </w:hyperlink>
          </w:p>
        </w:tc>
      </w:tr>
      <w:tr w:rsidR="00044D8F" w:rsidRPr="00514777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068" w:type="dxa"/>
            <w:shd w:val="clear" w:color="auto" w:fill="auto"/>
          </w:tcPr>
          <w:p w:rsidR="00044D8F" w:rsidRPr="00B037F1" w:rsidRDefault="00044D8F" w:rsidP="00044D8F">
            <w:pPr>
              <w:jc w:val="both"/>
              <w:rPr>
                <w:rStyle w:val="a4"/>
                <w:lang w:val="uk-UA"/>
              </w:rPr>
            </w:pPr>
            <w:r w:rsidRPr="00B037F1">
              <w:rPr>
                <w:b/>
                <w:bCs/>
                <w:lang w:val="uk-UA"/>
              </w:rPr>
              <w:t>E-</w:t>
            </w:r>
            <w:proofErr w:type="spellStart"/>
            <w:r w:rsidRPr="00B037F1">
              <w:rPr>
                <w:b/>
                <w:bCs/>
                <w:lang w:val="uk-UA"/>
              </w:rPr>
              <w:t>mail</w:t>
            </w:r>
            <w:proofErr w:type="spellEnd"/>
            <w:r w:rsidRPr="00B037F1">
              <w:rPr>
                <w:b/>
                <w:bCs/>
                <w:lang w:val="uk-UA"/>
              </w:rPr>
              <w:t>:</w:t>
            </w:r>
            <w:r w:rsidRPr="00B037F1">
              <w:rPr>
                <w:lang w:val="uk-UA"/>
              </w:rPr>
              <w:t> </w:t>
            </w:r>
            <w:hyperlink r:id="rId8" w:history="1">
              <w:r w:rsidRPr="001D6996">
                <w:rPr>
                  <w:rStyle w:val="a4"/>
                  <w:lang w:val="uk-UA"/>
                </w:rPr>
                <w:t>commission2@nabu.gov.ua</w:t>
              </w:r>
            </w:hyperlink>
          </w:p>
          <w:p w:rsidR="00044D8F" w:rsidRDefault="00044D8F" w:rsidP="00044D8F">
            <w:pPr>
              <w:jc w:val="both"/>
              <w:rPr>
                <w:lang w:val="uk-UA"/>
              </w:rPr>
            </w:pPr>
            <w:r w:rsidRPr="00B037F1">
              <w:rPr>
                <w:rStyle w:val="a4"/>
                <w:lang w:val="uk-UA"/>
              </w:rPr>
              <w:t>(044) 246-3</w:t>
            </w:r>
            <w:r>
              <w:rPr>
                <w:rStyle w:val="a4"/>
                <w:lang w:val="uk-UA"/>
              </w:rPr>
              <w:t>0</w:t>
            </w:r>
            <w:r w:rsidRPr="00B037F1">
              <w:rPr>
                <w:rStyle w:val="a4"/>
                <w:lang w:val="uk-UA"/>
              </w:rPr>
              <w:t>-</w:t>
            </w:r>
            <w:r>
              <w:rPr>
                <w:rStyle w:val="a4"/>
                <w:lang w:val="uk-UA"/>
              </w:rPr>
              <w:t>03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 xml:space="preserve">Посадовий оклад: </w:t>
            </w:r>
            <w:r w:rsidR="00D16163">
              <w:rPr>
                <w:kern w:val="36"/>
                <w:lang w:val="uk-UA"/>
              </w:rPr>
              <w:t>46</w:t>
            </w:r>
            <w:r w:rsidR="00930EE6">
              <w:rPr>
                <w:lang w:val="uk-UA"/>
              </w:rPr>
              <w:t> </w:t>
            </w:r>
            <w:r w:rsidR="00D16163">
              <w:rPr>
                <w:lang w:val="uk-UA"/>
              </w:rPr>
              <w:t>080</w:t>
            </w:r>
            <w:r>
              <w:rPr>
                <w:lang w:val="uk-UA"/>
              </w:rPr>
              <w:t xml:space="preserve"> грн</w:t>
            </w:r>
          </w:p>
          <w:p w:rsidR="00044D8F" w:rsidRDefault="00044D8F" w:rsidP="00044D8F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7.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826E67" w:rsidRPr="00BD7B6D" w:rsidRDefault="00826E67">
      <w:pPr>
        <w:rPr>
          <w:lang w:val="uk-UA"/>
        </w:rPr>
      </w:pPr>
    </w:p>
    <w:sectPr w:rsidR="00826E67" w:rsidRPr="00BD7B6D" w:rsidSect="008A7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81"/>
    <w:multiLevelType w:val="hybridMultilevel"/>
    <w:tmpl w:val="3EDA878E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E5025"/>
    <w:multiLevelType w:val="hybridMultilevel"/>
    <w:tmpl w:val="A870792E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4746"/>
    <w:multiLevelType w:val="hybridMultilevel"/>
    <w:tmpl w:val="8E668A00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4193"/>
    <w:multiLevelType w:val="hybridMultilevel"/>
    <w:tmpl w:val="E4C2814C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F746A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81971"/>
    <w:multiLevelType w:val="hybridMultilevel"/>
    <w:tmpl w:val="CB528054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682D"/>
    <w:rsid w:val="000369B3"/>
    <w:rsid w:val="00037386"/>
    <w:rsid w:val="00044D8F"/>
    <w:rsid w:val="000713AB"/>
    <w:rsid w:val="001050CA"/>
    <w:rsid w:val="00132994"/>
    <w:rsid w:val="001520B5"/>
    <w:rsid w:val="001A4593"/>
    <w:rsid w:val="001E3A2E"/>
    <w:rsid w:val="00200919"/>
    <w:rsid w:val="00224756"/>
    <w:rsid w:val="00234F97"/>
    <w:rsid w:val="00243F8C"/>
    <w:rsid w:val="00250FCF"/>
    <w:rsid w:val="0028237C"/>
    <w:rsid w:val="002A293A"/>
    <w:rsid w:val="002B3E7B"/>
    <w:rsid w:val="002D4B49"/>
    <w:rsid w:val="0032356D"/>
    <w:rsid w:val="00345015"/>
    <w:rsid w:val="003727F4"/>
    <w:rsid w:val="00390E50"/>
    <w:rsid w:val="00397CD6"/>
    <w:rsid w:val="003D43FC"/>
    <w:rsid w:val="003D4938"/>
    <w:rsid w:val="0040177B"/>
    <w:rsid w:val="004122E1"/>
    <w:rsid w:val="00412935"/>
    <w:rsid w:val="00415FCF"/>
    <w:rsid w:val="00421611"/>
    <w:rsid w:val="004527FA"/>
    <w:rsid w:val="00470A38"/>
    <w:rsid w:val="00485F0E"/>
    <w:rsid w:val="00493DB6"/>
    <w:rsid w:val="004A3BEF"/>
    <w:rsid w:val="004D33AC"/>
    <w:rsid w:val="004D6402"/>
    <w:rsid w:val="00514777"/>
    <w:rsid w:val="00526B24"/>
    <w:rsid w:val="005430A9"/>
    <w:rsid w:val="00570453"/>
    <w:rsid w:val="0057563A"/>
    <w:rsid w:val="00581DAD"/>
    <w:rsid w:val="005B3072"/>
    <w:rsid w:val="005C7BC0"/>
    <w:rsid w:val="005F7D35"/>
    <w:rsid w:val="0061262C"/>
    <w:rsid w:val="006162CE"/>
    <w:rsid w:val="0063449F"/>
    <w:rsid w:val="00664F90"/>
    <w:rsid w:val="00675492"/>
    <w:rsid w:val="006B08AB"/>
    <w:rsid w:val="006B7C71"/>
    <w:rsid w:val="006C478A"/>
    <w:rsid w:val="00720ED3"/>
    <w:rsid w:val="00725DBB"/>
    <w:rsid w:val="007547AB"/>
    <w:rsid w:val="00797F0D"/>
    <w:rsid w:val="007C0A1F"/>
    <w:rsid w:val="007E20F7"/>
    <w:rsid w:val="007F3C2C"/>
    <w:rsid w:val="008115B1"/>
    <w:rsid w:val="00826E67"/>
    <w:rsid w:val="0083742C"/>
    <w:rsid w:val="00846038"/>
    <w:rsid w:val="00891BF7"/>
    <w:rsid w:val="008A7859"/>
    <w:rsid w:val="008F198F"/>
    <w:rsid w:val="008F7249"/>
    <w:rsid w:val="00930EE6"/>
    <w:rsid w:val="00946D9D"/>
    <w:rsid w:val="009519F3"/>
    <w:rsid w:val="00963912"/>
    <w:rsid w:val="00990464"/>
    <w:rsid w:val="009C2B49"/>
    <w:rsid w:val="009F2DA6"/>
    <w:rsid w:val="009F54FB"/>
    <w:rsid w:val="00A00E06"/>
    <w:rsid w:val="00A0728B"/>
    <w:rsid w:val="00A252F1"/>
    <w:rsid w:val="00A45945"/>
    <w:rsid w:val="00A72C1E"/>
    <w:rsid w:val="00A91682"/>
    <w:rsid w:val="00A94096"/>
    <w:rsid w:val="00AB7601"/>
    <w:rsid w:val="00AC4443"/>
    <w:rsid w:val="00AD59B4"/>
    <w:rsid w:val="00AE3186"/>
    <w:rsid w:val="00AE636B"/>
    <w:rsid w:val="00B4062D"/>
    <w:rsid w:val="00B95EA1"/>
    <w:rsid w:val="00BD7B6D"/>
    <w:rsid w:val="00BE53A3"/>
    <w:rsid w:val="00C20748"/>
    <w:rsid w:val="00C41632"/>
    <w:rsid w:val="00C55526"/>
    <w:rsid w:val="00C6319F"/>
    <w:rsid w:val="00C837F1"/>
    <w:rsid w:val="00C957C4"/>
    <w:rsid w:val="00CD4591"/>
    <w:rsid w:val="00CD697C"/>
    <w:rsid w:val="00CE28BE"/>
    <w:rsid w:val="00D16163"/>
    <w:rsid w:val="00D22DCB"/>
    <w:rsid w:val="00D706DB"/>
    <w:rsid w:val="00D749DB"/>
    <w:rsid w:val="00DB32B1"/>
    <w:rsid w:val="00E45A8D"/>
    <w:rsid w:val="00E607FB"/>
    <w:rsid w:val="00E83695"/>
    <w:rsid w:val="00E86E77"/>
    <w:rsid w:val="00EA360F"/>
    <w:rsid w:val="00EE1287"/>
    <w:rsid w:val="00F04ACF"/>
    <w:rsid w:val="00F13C81"/>
    <w:rsid w:val="00F4040E"/>
    <w:rsid w:val="00F41D27"/>
    <w:rsid w:val="00F94377"/>
    <w:rsid w:val="00F95646"/>
    <w:rsid w:val="00F96F44"/>
    <w:rsid w:val="00FA253E"/>
    <w:rsid w:val="00FB1CD9"/>
    <w:rsid w:val="00FD455B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DA0C"/>
  <w15:chartTrackingRefBased/>
  <w15:docId w15:val="{2778A533-DCEB-4EED-98E0-1BD218A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styleId="a4">
    <w:name w:val="Hyperlink"/>
    <w:uiPriority w:val="99"/>
    <w:unhideWhenUsed/>
    <w:rsid w:val="004527FA"/>
    <w:rPr>
      <w:color w:val="0000FF"/>
      <w:u w:val="single"/>
    </w:rPr>
  </w:style>
  <w:style w:type="paragraph" w:customStyle="1" w:styleId="1">
    <w:name w:val="Абзац списку1"/>
    <w:basedOn w:val="a"/>
    <w:rsid w:val="00FF03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FF03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32B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32B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AE3186"/>
  </w:style>
  <w:style w:type="character" w:customStyle="1" w:styleId="rvts23">
    <w:name w:val="rvts23"/>
    <w:basedOn w:val="a0"/>
    <w:rsid w:val="00514777"/>
  </w:style>
  <w:style w:type="paragraph" w:customStyle="1" w:styleId="20">
    <w:name w:val="Абзац списку2"/>
    <w:basedOn w:val="a"/>
    <w:rsid w:val="00044D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2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7142</Words>
  <Characters>4072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Цукарєва Ганна Вадимівна</cp:lastModifiedBy>
  <cp:revision>13</cp:revision>
  <cp:lastPrinted>2026-04-14T10:21:00Z</cp:lastPrinted>
  <dcterms:created xsi:type="dcterms:W3CDTF">2026-01-12T09:38:00Z</dcterms:created>
  <dcterms:modified xsi:type="dcterms:W3CDTF">2026-04-21T07:51:00Z</dcterms:modified>
</cp:coreProperties>
</file>