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53" w:rsidRPr="00E27AD5" w:rsidRDefault="002657BC" w:rsidP="00046D58">
      <w:pPr>
        <w:jc w:val="center"/>
        <w:rPr>
          <w:b/>
          <w:sz w:val="28"/>
          <w:szCs w:val="28"/>
          <w:lang w:val="uk-UA"/>
        </w:rPr>
      </w:pPr>
      <w:r w:rsidRPr="00E27AD5">
        <w:rPr>
          <w:b/>
          <w:sz w:val="28"/>
          <w:szCs w:val="28"/>
          <w:lang w:val="uk-UA"/>
        </w:rPr>
        <w:t>ПРОФІЛЬ ПОСАДИ</w:t>
      </w:r>
      <w:r w:rsidRPr="00E27AD5">
        <w:rPr>
          <w:b/>
          <w:sz w:val="28"/>
          <w:szCs w:val="28"/>
          <w:lang w:val="uk-UA"/>
        </w:rPr>
        <w:br/>
      </w:r>
      <w:r w:rsidRPr="00E27AD5">
        <w:rPr>
          <w:lang w:val="uk-UA"/>
        </w:rPr>
        <w:t>«</w:t>
      </w:r>
      <w:r w:rsidR="00BC370D" w:rsidRPr="00E27AD5">
        <w:rPr>
          <w:b/>
          <w:sz w:val="28"/>
          <w:szCs w:val="28"/>
          <w:lang w:val="uk-UA"/>
        </w:rPr>
        <w:t>Завідувач</w:t>
      </w:r>
      <w:r w:rsidR="00DC5012" w:rsidRPr="00E27AD5">
        <w:rPr>
          <w:b/>
          <w:sz w:val="28"/>
          <w:szCs w:val="28"/>
          <w:lang w:val="uk-UA"/>
        </w:rPr>
        <w:t xml:space="preserve"> сектору </w:t>
      </w:r>
      <w:r w:rsidR="00D90453" w:rsidRPr="00E27AD5">
        <w:rPr>
          <w:b/>
          <w:sz w:val="28"/>
          <w:szCs w:val="28"/>
          <w:lang w:val="uk-UA"/>
        </w:rPr>
        <w:t>представництва інтересів в судах</w:t>
      </w:r>
    </w:p>
    <w:p w:rsidR="002657BC" w:rsidRPr="00E27AD5" w:rsidRDefault="002657BC" w:rsidP="00D90453">
      <w:pPr>
        <w:jc w:val="center"/>
        <w:rPr>
          <w:b/>
          <w:sz w:val="28"/>
          <w:szCs w:val="28"/>
          <w:lang w:val="uk-UA"/>
        </w:rPr>
      </w:pPr>
      <w:r w:rsidRPr="00E27AD5">
        <w:rPr>
          <w:b/>
          <w:sz w:val="28"/>
          <w:szCs w:val="28"/>
          <w:lang w:val="uk-UA"/>
        </w:rPr>
        <w:t>Відділу юридичного забезпечення та представництва в судах</w:t>
      </w:r>
    </w:p>
    <w:p w:rsidR="002657BC" w:rsidRPr="00E27AD5" w:rsidRDefault="002657BC" w:rsidP="002657BC">
      <w:pPr>
        <w:jc w:val="center"/>
        <w:rPr>
          <w:b/>
          <w:sz w:val="28"/>
          <w:szCs w:val="28"/>
          <w:lang w:val="uk-UA"/>
        </w:rPr>
      </w:pPr>
      <w:r w:rsidRPr="00E27AD5">
        <w:rPr>
          <w:b/>
          <w:sz w:val="28"/>
          <w:szCs w:val="28"/>
          <w:lang w:val="uk-UA"/>
        </w:rPr>
        <w:t>Національного антикорупційного бюро України</w:t>
      </w:r>
      <w:r w:rsidRPr="00E27AD5">
        <w:rPr>
          <w:lang w:val="uk-UA"/>
        </w:rPr>
        <w:t>»</w:t>
      </w:r>
    </w:p>
    <w:p w:rsidR="002657BC" w:rsidRPr="00E27AD5" w:rsidRDefault="002657BC" w:rsidP="002657BC">
      <w:pPr>
        <w:jc w:val="center"/>
        <w:rPr>
          <w:b/>
          <w:sz w:val="16"/>
          <w:szCs w:val="16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1"/>
        <w:gridCol w:w="4998"/>
      </w:tblGrid>
      <w:tr w:rsidR="00C727F8" w:rsidRPr="00E27AD5" w:rsidTr="002F7DF7">
        <w:tc>
          <w:tcPr>
            <w:tcW w:w="4608" w:type="dxa"/>
            <w:shd w:val="clear" w:color="auto" w:fill="auto"/>
          </w:tcPr>
          <w:p w:rsidR="002657BC" w:rsidRPr="00E27AD5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046D58" w:rsidRDefault="00046D58" w:rsidP="002F7DF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657BC" w:rsidRPr="009F4F56" w:rsidRDefault="002657BC" w:rsidP="002F7DF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F4F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ЗАТВЕРДЖУЮ</w:t>
            </w:r>
          </w:p>
        </w:tc>
      </w:tr>
      <w:tr w:rsidR="00C727F8" w:rsidRPr="00E27AD5" w:rsidTr="002F7DF7">
        <w:tc>
          <w:tcPr>
            <w:tcW w:w="4608" w:type="dxa"/>
            <w:shd w:val="clear" w:color="auto" w:fill="auto"/>
          </w:tcPr>
          <w:p w:rsidR="002657BC" w:rsidRPr="00E27AD5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</w:tcPr>
          <w:p w:rsidR="002657BC" w:rsidRPr="00E27AD5" w:rsidRDefault="002657BC" w:rsidP="009F4F56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27A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Директор</w:t>
            </w:r>
            <w:r w:rsidR="009F4F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</w:t>
            </w:r>
            <w:r w:rsidRPr="00E27A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Семен КРИВОНОС</w:t>
            </w:r>
          </w:p>
          <w:p w:rsidR="002657BC" w:rsidRDefault="002657BC" w:rsidP="002F7DF7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46D58" w:rsidRDefault="00046D58" w:rsidP="002F7DF7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657BC" w:rsidRPr="00E27AD5" w:rsidRDefault="002657BC" w:rsidP="002F7DF7">
            <w:pPr>
              <w:pStyle w:val="21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7AD5">
              <w:rPr>
                <w:rFonts w:ascii="Times New Roman" w:hAnsi="Times New Roman"/>
                <w:sz w:val="20"/>
                <w:szCs w:val="20"/>
                <w:lang w:val="uk-UA"/>
              </w:rPr>
              <w:t>(або особа, яка виконує його повноваження)</w:t>
            </w:r>
          </w:p>
        </w:tc>
      </w:tr>
      <w:tr w:rsidR="00C727F8" w:rsidRPr="00E27AD5" w:rsidTr="002F7DF7">
        <w:tc>
          <w:tcPr>
            <w:tcW w:w="4608" w:type="dxa"/>
            <w:shd w:val="clear" w:color="auto" w:fill="auto"/>
          </w:tcPr>
          <w:p w:rsidR="002657BC" w:rsidRPr="00E27AD5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auto"/>
          </w:tcPr>
          <w:p w:rsidR="002657BC" w:rsidRPr="00E27AD5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7AD5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C727F8" w:rsidRPr="00E27AD5" w:rsidTr="002F7DF7">
        <w:tc>
          <w:tcPr>
            <w:tcW w:w="4608" w:type="dxa"/>
            <w:shd w:val="clear" w:color="auto" w:fill="auto"/>
          </w:tcPr>
          <w:p w:rsidR="002657BC" w:rsidRPr="00E27AD5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2657BC" w:rsidRPr="00E27AD5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727F8" w:rsidRPr="00E27AD5" w:rsidTr="00792111">
        <w:trPr>
          <w:trHeight w:val="328"/>
        </w:trPr>
        <w:tc>
          <w:tcPr>
            <w:tcW w:w="4608" w:type="dxa"/>
            <w:shd w:val="clear" w:color="auto" w:fill="auto"/>
          </w:tcPr>
          <w:p w:rsidR="002657BC" w:rsidRPr="00E27AD5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2657BC" w:rsidRPr="00E27AD5" w:rsidRDefault="002657BC" w:rsidP="00C16FE8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7AD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C16FE8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E27A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C16F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лютого </w:t>
            </w:r>
            <w:r w:rsidRPr="00E27AD5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C16FE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E27A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  <w:bookmarkStart w:id="0" w:name="_GoBack"/>
            <w:bookmarkEnd w:id="0"/>
          </w:p>
        </w:tc>
      </w:tr>
    </w:tbl>
    <w:p w:rsidR="002657BC" w:rsidRDefault="002657BC" w:rsidP="002657BC">
      <w:pPr>
        <w:jc w:val="center"/>
        <w:rPr>
          <w:b/>
          <w:sz w:val="16"/>
          <w:szCs w:val="16"/>
          <w:lang w:val="uk-UA"/>
        </w:rPr>
      </w:pPr>
    </w:p>
    <w:p w:rsidR="009A5563" w:rsidRPr="00E27AD5" w:rsidRDefault="009A5563" w:rsidP="002657BC">
      <w:pPr>
        <w:jc w:val="center"/>
        <w:rPr>
          <w:b/>
          <w:sz w:val="16"/>
          <w:szCs w:val="16"/>
          <w:lang w:val="uk-U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737"/>
        <w:gridCol w:w="5088"/>
      </w:tblGrid>
      <w:tr w:rsidR="00C727F8" w:rsidRPr="00E27AD5" w:rsidTr="002F7DF7">
        <w:tc>
          <w:tcPr>
            <w:tcW w:w="696" w:type="dxa"/>
            <w:shd w:val="clear" w:color="auto" w:fill="auto"/>
            <w:vAlign w:val="center"/>
          </w:tcPr>
          <w:p w:rsidR="002657BC" w:rsidRPr="00E27AD5" w:rsidRDefault="002657BC" w:rsidP="002F7DF7">
            <w:pPr>
              <w:jc w:val="center"/>
              <w:rPr>
                <w:b/>
                <w:bCs/>
                <w:lang w:val="uk-UA"/>
              </w:rPr>
            </w:pPr>
            <w:r w:rsidRPr="00E27AD5">
              <w:rPr>
                <w:b/>
                <w:bCs/>
                <w:lang w:val="uk-UA"/>
              </w:rPr>
              <w:t>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2657BC" w:rsidRPr="00E27AD5" w:rsidRDefault="002657BC" w:rsidP="002F7DF7">
            <w:pPr>
              <w:jc w:val="center"/>
              <w:rPr>
                <w:b/>
                <w:bCs/>
                <w:lang w:val="uk-UA"/>
              </w:rPr>
            </w:pPr>
            <w:r w:rsidRPr="00E27AD5">
              <w:rPr>
                <w:b/>
                <w:bCs/>
                <w:lang w:val="uk-UA"/>
              </w:rPr>
              <w:t>ХАРАКТЕРИСТИКА ПОСАДИ</w:t>
            </w:r>
          </w:p>
          <w:p w:rsidR="002657BC" w:rsidRPr="00E27AD5" w:rsidRDefault="002657BC" w:rsidP="002F7DF7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B75FAD" w:rsidRDefault="00250617" w:rsidP="00250617">
            <w:pPr>
              <w:spacing w:line="259" w:lineRule="auto"/>
              <w:jc w:val="center"/>
              <w:rPr>
                <w:lang w:val="uk-UA"/>
              </w:rPr>
            </w:pPr>
            <w:r w:rsidRPr="00B75FAD">
              <w:rPr>
                <w:rFonts w:eastAsia="Calibri"/>
                <w:lang w:val="uk-UA"/>
              </w:rPr>
              <w:t>•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Національне антикорупційне бюро України</w:t>
            </w:r>
          </w:p>
        </w:tc>
      </w:tr>
      <w:tr w:rsidR="00250617" w:rsidRPr="00E27AD5" w:rsidTr="002F7DF7">
        <w:trPr>
          <w:trHeight w:val="512"/>
        </w:trPr>
        <w:tc>
          <w:tcPr>
            <w:tcW w:w="696" w:type="dxa"/>
            <w:shd w:val="clear" w:color="auto" w:fill="auto"/>
          </w:tcPr>
          <w:p w:rsidR="00250617" w:rsidRPr="00B75FAD" w:rsidRDefault="00250617" w:rsidP="00250617">
            <w:pPr>
              <w:spacing w:line="259" w:lineRule="auto"/>
              <w:jc w:val="center"/>
              <w:rPr>
                <w:lang w:val="uk-UA"/>
              </w:rPr>
            </w:pPr>
            <w:r w:rsidRPr="00B75FAD">
              <w:rPr>
                <w:rFonts w:eastAsia="Calibri"/>
                <w:lang w:val="uk-UA"/>
              </w:rPr>
              <w:t>•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 xml:space="preserve">Сектор представництва інтересів в судах Відділу юридичного забезпечення та представництва в судах </w:t>
            </w:r>
          </w:p>
        </w:tc>
      </w:tr>
      <w:tr w:rsidR="00250617" w:rsidRPr="00E27AD5" w:rsidTr="002F7DF7">
        <w:trPr>
          <w:trHeight w:val="309"/>
        </w:trPr>
        <w:tc>
          <w:tcPr>
            <w:tcW w:w="696" w:type="dxa"/>
            <w:shd w:val="clear" w:color="auto" w:fill="auto"/>
          </w:tcPr>
          <w:p w:rsidR="00250617" w:rsidRPr="00B75FAD" w:rsidRDefault="00250617" w:rsidP="00250617">
            <w:pPr>
              <w:spacing w:line="259" w:lineRule="auto"/>
              <w:jc w:val="center"/>
              <w:rPr>
                <w:lang w:val="uk-UA"/>
              </w:rPr>
            </w:pPr>
            <w:r w:rsidRPr="00B75FAD">
              <w:rPr>
                <w:rFonts w:eastAsia="Calibri"/>
                <w:lang w:val="uk-UA"/>
              </w:rPr>
              <w:t>•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Найменування посади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E71EDD">
            <w:pPr>
              <w:rPr>
                <w:lang w:val="uk-UA"/>
              </w:rPr>
            </w:pPr>
            <w:r w:rsidRPr="00E27AD5">
              <w:rPr>
                <w:lang w:val="uk-UA"/>
              </w:rPr>
              <w:t xml:space="preserve">Завідувач </w:t>
            </w:r>
            <w:r w:rsidR="00E71EDD">
              <w:rPr>
                <w:lang w:val="uk-UA"/>
              </w:rPr>
              <w:t>с</w:t>
            </w:r>
            <w:r w:rsidRPr="00E27AD5">
              <w:rPr>
                <w:lang w:val="uk-UA"/>
              </w:rPr>
              <w:t xml:space="preserve">ектору 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B75FAD" w:rsidRDefault="00250617" w:rsidP="00250617">
            <w:pPr>
              <w:spacing w:line="259" w:lineRule="auto"/>
              <w:jc w:val="center"/>
              <w:rPr>
                <w:lang w:val="uk-UA"/>
              </w:rPr>
            </w:pPr>
            <w:r w:rsidRPr="00B75FAD">
              <w:rPr>
                <w:rFonts w:eastAsia="Calibri"/>
                <w:lang w:val="uk-UA"/>
              </w:rPr>
              <w:t>•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lang w:val="uk-UA"/>
              </w:rPr>
              <w:t xml:space="preserve">Категорія посади 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«Б»</w:t>
            </w:r>
          </w:p>
        </w:tc>
      </w:tr>
      <w:tr w:rsidR="00250617" w:rsidRPr="00046D58" w:rsidTr="002F7DF7">
        <w:tc>
          <w:tcPr>
            <w:tcW w:w="696" w:type="dxa"/>
            <w:shd w:val="clear" w:color="auto" w:fill="auto"/>
          </w:tcPr>
          <w:p w:rsidR="00250617" w:rsidRPr="00B75FAD" w:rsidRDefault="00250617" w:rsidP="00250617">
            <w:pPr>
              <w:spacing w:line="259" w:lineRule="auto"/>
              <w:jc w:val="center"/>
              <w:rPr>
                <w:lang w:val="uk-UA"/>
              </w:rPr>
            </w:pPr>
            <w:r w:rsidRPr="00B75FAD">
              <w:rPr>
                <w:rFonts w:eastAsia="Calibri"/>
                <w:lang w:val="uk-UA"/>
              </w:rPr>
              <w:t>•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lang w:val="uk-UA"/>
              </w:rPr>
              <w:t>Мета посади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B41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захисту прав і</w:t>
            </w:r>
            <w:r w:rsidRPr="00E27AD5">
              <w:rPr>
                <w:lang w:val="uk-UA"/>
              </w:rPr>
              <w:t xml:space="preserve"> законних</w:t>
            </w:r>
            <w:r>
              <w:rPr>
                <w:lang w:val="uk-UA"/>
              </w:rPr>
              <w:t xml:space="preserve"> інтересів Національного бюро та держави в</w:t>
            </w:r>
            <w:r w:rsidRPr="00E27AD5">
              <w:rPr>
                <w:lang w:val="uk-UA"/>
              </w:rPr>
              <w:t xml:space="preserve"> судах, Вищій раді правосуддя</w:t>
            </w:r>
            <w:r>
              <w:rPr>
                <w:lang w:val="uk-UA"/>
              </w:rPr>
              <w:t xml:space="preserve">, органах виконання рішень шляхом ефективної організації роботи </w:t>
            </w:r>
            <w:r w:rsidR="00B41417">
              <w:rPr>
                <w:lang w:val="uk-UA"/>
              </w:rPr>
              <w:t>с</w:t>
            </w:r>
            <w:r>
              <w:rPr>
                <w:lang w:val="uk-UA"/>
              </w:rPr>
              <w:t>ектору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B75FAD" w:rsidRDefault="00250617" w:rsidP="00250617">
            <w:pPr>
              <w:spacing w:line="259" w:lineRule="auto"/>
              <w:jc w:val="center"/>
              <w:rPr>
                <w:lang w:val="uk-UA"/>
              </w:rPr>
            </w:pPr>
            <w:r w:rsidRPr="00B75FAD">
              <w:rPr>
                <w:rFonts w:eastAsia="Calibri"/>
                <w:lang w:val="uk-UA"/>
              </w:rPr>
              <w:t>•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pStyle w:val="a5"/>
              <w:numPr>
                <w:ilvl w:val="0"/>
                <w:numId w:val="8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 xml:space="preserve">Загальне керівництво </w:t>
            </w:r>
            <w:r w:rsidR="00B41417">
              <w:rPr>
                <w:lang w:val="uk-UA"/>
              </w:rPr>
              <w:t>с</w:t>
            </w:r>
            <w:r w:rsidRPr="00E27AD5">
              <w:rPr>
                <w:lang w:val="uk-UA"/>
              </w:rPr>
              <w:t xml:space="preserve">ектором, організація роботи </w:t>
            </w:r>
            <w:r>
              <w:rPr>
                <w:lang w:val="uk-UA"/>
              </w:rPr>
              <w:t xml:space="preserve">підрозділу </w:t>
            </w:r>
            <w:r w:rsidRPr="00E27AD5">
              <w:rPr>
                <w:lang w:val="uk-UA"/>
              </w:rPr>
              <w:t>з метою чіткого, своєчасного та якісно</w:t>
            </w:r>
            <w:r>
              <w:rPr>
                <w:lang w:val="uk-UA"/>
              </w:rPr>
              <w:t>го виконання покладених завдань.</w:t>
            </w:r>
          </w:p>
          <w:p w:rsidR="00250617" w:rsidRPr="00E27AD5" w:rsidRDefault="00250617" w:rsidP="00250617">
            <w:pPr>
              <w:pStyle w:val="a5"/>
              <w:numPr>
                <w:ilvl w:val="0"/>
                <w:numId w:val="8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 xml:space="preserve">Забезпечення </w:t>
            </w:r>
            <w:r>
              <w:rPr>
                <w:lang w:val="uk-UA"/>
              </w:rPr>
              <w:t>належного представництва</w:t>
            </w:r>
            <w:r w:rsidRPr="00E27AD5">
              <w:rPr>
                <w:lang w:val="uk-UA"/>
              </w:rPr>
              <w:t xml:space="preserve"> інтересів Національного бюро та держави в адміністративному, господарському, цивільному та кримінальному судочинстві.</w:t>
            </w:r>
          </w:p>
          <w:p w:rsidR="00250617" w:rsidRPr="00E27AD5" w:rsidRDefault="00250617" w:rsidP="00250617">
            <w:pPr>
              <w:pStyle w:val="a5"/>
              <w:numPr>
                <w:ilvl w:val="0"/>
                <w:numId w:val="8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 xml:space="preserve">Організація підготовки та перевірка  позовних заяв, апеляційних та касаційних скарг, відзивів, заперечень, клопотань та інших процесуальних документів, підготовлених працівниками </w:t>
            </w:r>
            <w:r w:rsidR="000A4CD8">
              <w:rPr>
                <w:lang w:val="uk-UA"/>
              </w:rPr>
              <w:t>с</w:t>
            </w:r>
            <w:r w:rsidRPr="00E27AD5">
              <w:rPr>
                <w:lang w:val="uk-UA"/>
              </w:rPr>
              <w:t>ектору.</w:t>
            </w:r>
          </w:p>
          <w:p w:rsidR="00250617" w:rsidRPr="00E27AD5" w:rsidRDefault="00250617" w:rsidP="00250617">
            <w:pPr>
              <w:pStyle w:val="a5"/>
              <w:numPr>
                <w:ilvl w:val="0"/>
                <w:numId w:val="8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Прийняття рішень управлінського характеру з питань, що належать до його компетенції, в тому числ</w:t>
            </w:r>
            <w:r>
              <w:rPr>
                <w:lang w:val="uk-UA"/>
              </w:rPr>
              <w:t>і погодження окремих документів.</w:t>
            </w:r>
          </w:p>
          <w:p w:rsidR="00250617" w:rsidRPr="00E27AD5" w:rsidRDefault="00250617" w:rsidP="00250617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</w:t>
            </w:r>
            <w:r w:rsidRPr="00E27AD5">
              <w:rPr>
                <w:lang w:val="uk-UA"/>
              </w:rPr>
              <w:t>надання правової допомоги структурним підрозді</w:t>
            </w:r>
            <w:r>
              <w:rPr>
                <w:lang w:val="uk-UA"/>
              </w:rPr>
              <w:t xml:space="preserve">лам Національного бюро </w:t>
            </w:r>
            <w:r w:rsidRPr="00E27AD5">
              <w:rPr>
                <w:lang w:val="uk-UA"/>
              </w:rPr>
              <w:t>шляхом підготовки юридичних консультацій, висновків,</w:t>
            </w:r>
            <w:r>
              <w:rPr>
                <w:lang w:val="uk-UA"/>
              </w:rPr>
              <w:t xml:space="preserve"> службових і доповідних записок тощо.</w:t>
            </w:r>
          </w:p>
          <w:p w:rsidR="00250617" w:rsidRPr="00E27AD5" w:rsidRDefault="00250617" w:rsidP="00250617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-9" w:firstLine="431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 xml:space="preserve">Організація розроблення та формування пропозицій до перспективних, поточних і </w:t>
            </w:r>
            <w:r>
              <w:rPr>
                <w:lang w:val="uk-UA"/>
              </w:rPr>
              <w:lastRenderedPageBreak/>
              <w:t>оперативних планів роботи в межах компетенції.</w:t>
            </w:r>
          </w:p>
          <w:p w:rsidR="00250617" w:rsidRDefault="00250617" w:rsidP="00250617">
            <w:pPr>
              <w:pStyle w:val="a5"/>
              <w:numPr>
                <w:ilvl w:val="0"/>
                <w:numId w:val="8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належної взаємодії з іншими структурними підрозділами з метою якісного виконання службових завдань.</w:t>
            </w:r>
          </w:p>
          <w:p w:rsidR="00250617" w:rsidRPr="00E27AD5" w:rsidRDefault="00250617" w:rsidP="00250617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-8" w:firstLine="430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Забезпечення виконання</w:t>
            </w:r>
            <w:r>
              <w:rPr>
                <w:lang w:val="uk-UA"/>
              </w:rPr>
              <w:t xml:space="preserve"> </w:t>
            </w:r>
            <w:proofErr w:type="spellStart"/>
            <w:r w:rsidRPr="00443251">
              <w:rPr>
                <w:lang w:val="uk-UA"/>
              </w:rPr>
              <w:t>виконання</w:t>
            </w:r>
            <w:proofErr w:type="spellEnd"/>
            <w:r w:rsidRPr="00443251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наказів (розпоряджень), доручень</w:t>
            </w:r>
            <w:r w:rsidRPr="00D917DB">
              <w:rPr>
                <w:lang w:val="uk-UA"/>
              </w:rPr>
              <w:t xml:space="preserve"> </w:t>
            </w:r>
            <w:r w:rsidRPr="00443251">
              <w:rPr>
                <w:lang w:val="uk-UA"/>
              </w:rPr>
              <w:t>Д</w:t>
            </w:r>
            <w:r>
              <w:rPr>
                <w:lang w:val="uk-UA"/>
              </w:rPr>
              <w:t>иректора Національного бюро, н</w:t>
            </w:r>
            <w:r w:rsidRPr="00443251">
              <w:rPr>
                <w:lang w:val="uk-UA"/>
              </w:rPr>
              <w:t xml:space="preserve">ачальника Відділу </w:t>
            </w:r>
            <w:r w:rsidRPr="00C727F8">
              <w:rPr>
                <w:lang w:val="uk-UA"/>
              </w:rPr>
              <w:t>юридичного забезпечення та представництва в судах</w:t>
            </w:r>
            <w:r w:rsidRPr="00E27AD5">
              <w:rPr>
                <w:lang w:val="uk-UA"/>
              </w:rPr>
              <w:t>.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  <w:vAlign w:val="center"/>
          </w:tcPr>
          <w:p w:rsidR="00250617" w:rsidRPr="00E27AD5" w:rsidRDefault="00250617" w:rsidP="00250617">
            <w:pPr>
              <w:jc w:val="center"/>
              <w:rPr>
                <w:b/>
                <w:lang w:val="uk-UA"/>
              </w:rPr>
            </w:pPr>
            <w:r w:rsidRPr="00E27AD5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250617" w:rsidRPr="00E27AD5" w:rsidRDefault="00250617" w:rsidP="00250617">
            <w:pPr>
              <w:jc w:val="center"/>
              <w:rPr>
                <w:b/>
                <w:lang w:val="uk-UA"/>
              </w:rPr>
            </w:pPr>
            <w:r w:rsidRPr="00E27AD5">
              <w:rPr>
                <w:b/>
                <w:lang w:val="uk-UA"/>
              </w:rPr>
              <w:t>КВАЛІФІКАЦІЙНІ ВИМОГИ</w:t>
            </w:r>
          </w:p>
          <w:p w:rsidR="00250617" w:rsidRPr="00E27AD5" w:rsidRDefault="00250617" w:rsidP="00250617">
            <w:pPr>
              <w:jc w:val="center"/>
              <w:rPr>
                <w:b/>
                <w:lang w:val="uk-UA"/>
              </w:rPr>
            </w:pPr>
          </w:p>
        </w:tc>
      </w:tr>
      <w:tr w:rsidR="00250617" w:rsidRPr="00E27AD5" w:rsidTr="002F7DF7">
        <w:tc>
          <w:tcPr>
            <w:tcW w:w="9521" w:type="dxa"/>
            <w:gridSpan w:val="3"/>
            <w:shd w:val="clear" w:color="auto" w:fill="auto"/>
          </w:tcPr>
          <w:p w:rsidR="00250617" w:rsidRPr="00E27AD5" w:rsidRDefault="00250617" w:rsidP="00250617">
            <w:pPr>
              <w:numPr>
                <w:ilvl w:val="0"/>
                <w:numId w:val="1"/>
              </w:numPr>
              <w:jc w:val="center"/>
              <w:rPr>
                <w:i/>
                <w:lang w:val="uk-UA"/>
              </w:rPr>
            </w:pPr>
            <w:r w:rsidRPr="00E27AD5">
              <w:rPr>
                <w:i/>
                <w:lang w:val="uk-UA"/>
              </w:rPr>
              <w:t>Загальні вимоги</w:t>
            </w:r>
          </w:p>
        </w:tc>
      </w:tr>
      <w:tr w:rsidR="00250617" w:rsidRPr="00E27AD5" w:rsidTr="002F7DF7">
        <w:tc>
          <w:tcPr>
            <w:tcW w:w="696" w:type="dxa"/>
            <w:vMerge w:val="restart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1.1.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Освіта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 xml:space="preserve">Вища </w:t>
            </w:r>
          </w:p>
        </w:tc>
      </w:tr>
      <w:tr w:rsidR="00250617" w:rsidRPr="00E27AD5" w:rsidTr="002F7DF7">
        <w:tc>
          <w:tcPr>
            <w:tcW w:w="696" w:type="dxa"/>
            <w:vMerge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Ступінь вищої освіти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E27AD5">
              <w:rPr>
                <w:lang w:val="uk-UA"/>
              </w:rPr>
              <w:t>агістр (або спеціаліст)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caps/>
                <w:lang w:val="uk-UA"/>
              </w:rPr>
              <w:t>1.2.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lang w:val="uk-UA"/>
              </w:rPr>
              <w:t xml:space="preserve">Стаж роботи </w:t>
            </w:r>
            <w:r w:rsidRPr="00E27AD5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Стаж роботи у</w:t>
            </w:r>
            <w:r w:rsidRPr="00E27AD5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сфері права не менше 4</w:t>
            </w:r>
            <w:r w:rsidRPr="00E27AD5">
              <w:rPr>
                <w:lang w:val="uk-UA"/>
              </w:rPr>
              <w:t xml:space="preserve"> років</w:t>
            </w:r>
            <w:r>
              <w:rPr>
                <w:lang w:val="uk-UA"/>
              </w:rPr>
              <w:t>, з яких не менше, ніж 2 роки на керівних посадах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Del="00E7634A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caps/>
                <w:lang w:val="uk-UA"/>
              </w:rPr>
              <w:t>1.3.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Del="00E7634A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Володіння державною мовою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Вільно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caps/>
                <w:lang w:val="uk-UA"/>
              </w:rPr>
              <w:t>1.4.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Володіння іноземними мовами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jc w:val="both"/>
              <w:rPr>
                <w:lang w:val="uk-UA"/>
              </w:rPr>
            </w:pPr>
            <w:r w:rsidRPr="00E27AD5">
              <w:rPr>
                <w:shd w:val="clear" w:color="auto" w:fill="FFFFFF"/>
                <w:lang w:val="uk-UA"/>
              </w:rPr>
              <w:t>Володіння однією із офіційних мов Європейського Союзу може бути                 перевагою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caps/>
                <w:lang w:val="uk-UA"/>
              </w:rPr>
              <w:t>1.5.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7AD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27A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Безстрокове.</w:t>
            </w:r>
            <w:r w:rsidRPr="00E27AD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250617" w:rsidRPr="00E27AD5" w:rsidTr="002F7DF7">
        <w:tc>
          <w:tcPr>
            <w:tcW w:w="9521" w:type="dxa"/>
            <w:gridSpan w:val="3"/>
            <w:shd w:val="clear" w:color="auto" w:fill="auto"/>
          </w:tcPr>
          <w:p w:rsidR="00250617" w:rsidRPr="00E27AD5" w:rsidRDefault="00250617" w:rsidP="00250617">
            <w:pPr>
              <w:jc w:val="center"/>
              <w:rPr>
                <w:i/>
                <w:lang w:val="uk-UA"/>
              </w:rPr>
            </w:pPr>
            <w:r w:rsidRPr="00E27AD5">
              <w:rPr>
                <w:i/>
                <w:lang w:val="uk-UA"/>
              </w:rPr>
              <w:t>2. Спеціальні вимоги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caps/>
                <w:lang w:val="uk-UA"/>
              </w:rPr>
              <w:t>2.1.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 xml:space="preserve">Право </w:t>
            </w:r>
          </w:p>
        </w:tc>
      </w:tr>
      <w:tr w:rsidR="00250617" w:rsidRPr="00046D58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caps/>
                <w:lang w:val="uk-UA"/>
              </w:rPr>
              <w:t>2.2.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lang w:val="uk-UA"/>
              </w:rPr>
              <w:t>Спеціальний досвід роботи (тривалість, сфера чи напрям роботи)</w:t>
            </w:r>
          </w:p>
        </w:tc>
        <w:tc>
          <w:tcPr>
            <w:tcW w:w="5088" w:type="dxa"/>
            <w:shd w:val="clear" w:color="auto" w:fill="auto"/>
          </w:tcPr>
          <w:p w:rsidR="00250617" w:rsidRPr="00C727F8" w:rsidRDefault="00250617" w:rsidP="002506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Досвід у сфері представництва інтересів держави в судах 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caps/>
                <w:lang w:val="uk-UA"/>
              </w:rPr>
              <w:t>2.3.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Конституція України;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0"/>
              <w:jc w:val="both"/>
              <w:rPr>
                <w:i/>
                <w:lang w:val="uk-UA"/>
              </w:rPr>
            </w:pPr>
            <w:r w:rsidRPr="00E27AD5">
              <w:rPr>
                <w:lang w:val="uk-UA"/>
              </w:rPr>
              <w:t>Закон України «Про Національне антикорупційне бюро України»;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0"/>
              <w:jc w:val="both"/>
              <w:rPr>
                <w:i/>
                <w:lang w:val="uk-UA"/>
              </w:rPr>
            </w:pPr>
            <w:r w:rsidRPr="00E27AD5">
              <w:rPr>
                <w:lang w:val="uk-UA"/>
              </w:rPr>
              <w:t>Закон України «Про запобігання корупції».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0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Закон України «Про державну службу»;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0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 xml:space="preserve">Закон України «Про правотворчу діяльність»; 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 xml:space="preserve">Кодекс законів про працю України; 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i/>
                <w:lang w:val="uk-UA"/>
              </w:rPr>
            </w:pPr>
            <w:r w:rsidRPr="00E27AD5">
              <w:rPr>
                <w:lang w:val="uk-UA"/>
              </w:rPr>
              <w:t>Закон України «Про звернення громадян»;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Закон України «Про доступ до публічної інформації»;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Закон України «Про інформацію»;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Закон України «Про порядок відшкодування шкоди, завданої громадянинові незаконними діями органів, що здійснюють оперативно-розшукову діяльність, органів досудового розслідування, прокуратури і суду»;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lastRenderedPageBreak/>
              <w:t>Кодекс законів про працю України;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 xml:space="preserve">Кодекс адміністративного судочинства України; 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E27AD5">
              <w:rPr>
                <w:rFonts w:ascii="Rubik" w:hAnsi="Rubik"/>
                <w:color w:val="000000"/>
                <w:shd w:val="clear" w:color="auto" w:fill="FFFFFF"/>
                <w:lang w:val="uk-UA"/>
              </w:rPr>
              <w:t>Цивільний кодекс України;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E27AD5">
              <w:rPr>
                <w:rFonts w:ascii="Rubik" w:hAnsi="Rubik"/>
                <w:color w:val="000000"/>
                <w:shd w:val="clear" w:color="auto" w:fill="FFFFFF"/>
                <w:lang w:val="uk-UA"/>
              </w:rPr>
              <w:t>Кримінальний кодекс України;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E27AD5">
              <w:rPr>
                <w:bCs/>
                <w:lang w:val="uk-UA"/>
              </w:rPr>
              <w:t>Цивільний процесуальний кодекс України</w:t>
            </w:r>
            <w:r w:rsidRPr="00E27AD5">
              <w:rPr>
                <w:lang w:val="uk-UA"/>
              </w:rPr>
              <w:t>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E27AD5">
              <w:rPr>
                <w:bCs/>
                <w:lang w:val="uk-UA"/>
              </w:rPr>
              <w:t>Господарський процесуальний кодекс України</w:t>
            </w:r>
            <w:r w:rsidRPr="00E27AD5">
              <w:rPr>
                <w:lang w:val="uk-UA"/>
              </w:rPr>
              <w:t>;</w:t>
            </w:r>
          </w:p>
          <w:p w:rsidR="00250617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E27AD5">
              <w:rPr>
                <w:bCs/>
                <w:lang w:val="uk-UA"/>
              </w:rPr>
              <w:t>Кримінальний процесуальний кодекс України</w:t>
            </w:r>
            <w:r w:rsidRPr="00E27AD5">
              <w:rPr>
                <w:lang w:val="uk-UA"/>
              </w:rPr>
              <w:t>;</w:t>
            </w:r>
          </w:p>
          <w:p w:rsidR="00250617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Закон України «Про виконавче провадження»; </w:t>
            </w:r>
          </w:p>
          <w:p w:rsidR="00250617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 «Про судоустрій і статус суддів»;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 «Про Вищу раду правосуддя»;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i/>
                <w:lang w:val="uk-UA"/>
              </w:rPr>
            </w:pPr>
            <w:r w:rsidRPr="00E27AD5">
              <w:rPr>
                <w:lang w:val="uk-UA"/>
              </w:rPr>
              <w:t xml:space="preserve">Типова інструкція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обміну, затвердженої постановою Кабінету Міністрів України </w:t>
            </w:r>
            <w:r w:rsidRPr="00E27AD5">
              <w:rPr>
                <w:lang w:val="uk-UA"/>
              </w:rPr>
              <w:br/>
              <w:t>від 17 січня 2008 року № 55.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caps/>
                <w:lang w:val="uk-UA"/>
              </w:rPr>
              <w:lastRenderedPageBreak/>
              <w:t>2.4.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Професійні знання (</w:t>
            </w:r>
            <w:r w:rsidRPr="00E27AD5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numPr>
                <w:ilvl w:val="0"/>
                <w:numId w:val="10"/>
              </w:numPr>
              <w:ind w:left="0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 xml:space="preserve">організація та планування роботи </w:t>
            </w:r>
            <w:r w:rsidR="001C2C4A">
              <w:rPr>
                <w:lang w:val="uk-UA"/>
              </w:rPr>
              <w:t>с</w:t>
            </w:r>
            <w:r w:rsidRPr="00E27AD5">
              <w:rPr>
                <w:lang w:val="uk-UA"/>
              </w:rPr>
              <w:t>ектору;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9"/>
              <w:jc w:val="both"/>
              <w:rPr>
                <w:lang w:val="uk-UA"/>
              </w:rPr>
            </w:pPr>
            <w:r w:rsidRPr="00E27AD5">
              <w:rPr>
                <w:bCs/>
                <w:shd w:val="clear" w:color="auto" w:fill="FFFFFF"/>
                <w:lang w:val="uk-UA"/>
              </w:rPr>
              <w:t>ефективна комунікація та публічні виступи;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9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аналітичне мислення;</w:t>
            </w:r>
          </w:p>
          <w:p w:rsidR="00250617" w:rsidRDefault="00250617" w:rsidP="00250617">
            <w:pPr>
              <w:numPr>
                <w:ilvl w:val="0"/>
                <w:numId w:val="2"/>
              </w:numPr>
              <w:ind w:left="-9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складання процесуальних документів;</w:t>
            </w:r>
          </w:p>
          <w:p w:rsidR="00250617" w:rsidRPr="00511AF9" w:rsidRDefault="00250617" w:rsidP="00250617">
            <w:pPr>
              <w:numPr>
                <w:ilvl w:val="0"/>
                <w:numId w:val="2"/>
              </w:numPr>
              <w:ind w:left="-9"/>
              <w:jc w:val="both"/>
              <w:rPr>
                <w:lang w:val="uk-UA"/>
              </w:rPr>
            </w:pPr>
            <w:proofErr w:type="spellStart"/>
            <w:r w:rsidRPr="005644EF">
              <w:rPr>
                <w:bCs/>
                <w:shd w:val="clear" w:color="auto" w:fill="FFFFFF"/>
              </w:rPr>
              <w:t>роз’яснення</w:t>
            </w:r>
            <w:proofErr w:type="spellEnd"/>
            <w:r w:rsidRPr="005644E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5644EF">
              <w:rPr>
                <w:bCs/>
                <w:shd w:val="clear" w:color="auto" w:fill="FFFFFF"/>
              </w:rPr>
              <w:t>застосування</w:t>
            </w:r>
            <w:proofErr w:type="spellEnd"/>
            <w:r w:rsidRPr="005644EF">
              <w:rPr>
                <w:bCs/>
                <w:shd w:val="clear" w:color="auto" w:fill="FFFFFF"/>
              </w:rPr>
              <w:t xml:space="preserve"> норм </w:t>
            </w:r>
            <w:proofErr w:type="spellStart"/>
            <w:r w:rsidRPr="005644EF">
              <w:rPr>
                <w:bCs/>
                <w:shd w:val="clear" w:color="auto" w:fill="FFFFFF"/>
              </w:rPr>
              <w:t>законодавчих</w:t>
            </w:r>
            <w:proofErr w:type="spellEnd"/>
            <w:r w:rsidRPr="005644E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5644EF">
              <w:rPr>
                <w:bCs/>
                <w:shd w:val="clear" w:color="auto" w:fill="FFFFFF"/>
              </w:rPr>
              <w:t>актів</w:t>
            </w:r>
            <w:proofErr w:type="spellEnd"/>
            <w:r w:rsidRPr="005644EF">
              <w:rPr>
                <w:bCs/>
                <w:shd w:val="clear" w:color="auto" w:fill="FFFFFF"/>
              </w:rPr>
              <w:t xml:space="preserve"> та </w:t>
            </w:r>
            <w:proofErr w:type="spellStart"/>
            <w:r w:rsidRPr="005644EF">
              <w:rPr>
                <w:bCs/>
                <w:shd w:val="clear" w:color="auto" w:fill="FFFFFF"/>
              </w:rPr>
              <w:t>застосовування</w:t>
            </w:r>
            <w:proofErr w:type="spellEnd"/>
            <w:r w:rsidRPr="005644E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5644EF">
              <w:rPr>
                <w:bCs/>
                <w:shd w:val="clear" w:color="auto" w:fill="FFFFFF"/>
              </w:rPr>
              <w:t>їх</w:t>
            </w:r>
            <w:proofErr w:type="spellEnd"/>
            <w:r w:rsidRPr="005644EF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5644EF">
              <w:rPr>
                <w:bCs/>
                <w:shd w:val="clear" w:color="auto" w:fill="FFFFFF"/>
              </w:rPr>
              <w:t>вимог</w:t>
            </w:r>
            <w:proofErr w:type="spellEnd"/>
            <w:r w:rsidRPr="005644EF">
              <w:rPr>
                <w:bCs/>
                <w:shd w:val="clear" w:color="auto" w:fill="FFFFFF"/>
              </w:rPr>
              <w:t xml:space="preserve"> на </w:t>
            </w:r>
            <w:proofErr w:type="spellStart"/>
            <w:r w:rsidRPr="005644EF">
              <w:rPr>
                <w:bCs/>
                <w:shd w:val="clear" w:color="auto" w:fill="FFFFFF"/>
              </w:rPr>
              <w:t>практиці</w:t>
            </w:r>
            <w:proofErr w:type="spellEnd"/>
            <w:r w:rsidRPr="00511AF9">
              <w:rPr>
                <w:bCs/>
                <w:shd w:val="clear" w:color="auto" w:fill="FFFFFF"/>
                <w:lang w:val="uk-UA"/>
              </w:rPr>
              <w:t>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9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організація роботи з ефективної взаємодії з державними органами;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порядок роботи з інформацією з обмеженим доступом;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0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 xml:space="preserve">норми службової етики та поведінки, правила етичної поведінки державних службовців; </w:t>
            </w:r>
          </w:p>
          <w:p w:rsidR="00250617" w:rsidRPr="00E27AD5" w:rsidRDefault="00250617" w:rsidP="00250617">
            <w:pPr>
              <w:numPr>
                <w:ilvl w:val="0"/>
                <w:numId w:val="2"/>
              </w:numPr>
              <w:ind w:left="0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ефективний розподіл завдань та контроль їх виконанням, мотивування та професійний розвиток співробітників.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caps/>
                <w:lang w:val="uk-UA"/>
              </w:rPr>
              <w:t>2.5.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Лідерство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numPr>
                <w:ilvl w:val="0"/>
                <w:numId w:val="4"/>
              </w:numPr>
              <w:tabs>
                <w:tab w:val="left" w:pos="138"/>
              </w:tabs>
              <w:ind w:left="0" w:firstLine="0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вміння обґрунтовувати власну позицію;</w:t>
            </w:r>
          </w:p>
          <w:p w:rsidR="00250617" w:rsidRPr="00E27AD5" w:rsidRDefault="00250617" w:rsidP="00250617">
            <w:pPr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- орієнтація на результат;</w:t>
            </w:r>
          </w:p>
          <w:p w:rsidR="00250617" w:rsidRPr="00E27AD5" w:rsidRDefault="00250617" w:rsidP="00250617">
            <w:pPr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- вміння брати на себе відповідальність</w:t>
            </w:r>
            <w:r>
              <w:rPr>
                <w:lang w:val="uk-UA"/>
              </w:rPr>
              <w:t>;</w:t>
            </w:r>
          </w:p>
          <w:p w:rsidR="00250617" w:rsidRPr="00E27AD5" w:rsidRDefault="00250617" w:rsidP="00250617">
            <w:pPr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- ініціативність, комунікабельність.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caps/>
                <w:lang w:val="uk-UA"/>
              </w:rPr>
              <w:t>2.6.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Прийняття ефективних рішень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запровадження нових підходів у вирішенні поставлених завдань;</w:t>
            </w:r>
          </w:p>
          <w:p w:rsidR="00250617" w:rsidRPr="00E27AD5" w:rsidRDefault="00250617" w:rsidP="00250617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оперативне прийняття і реалізація наданих повноважень;</w:t>
            </w:r>
          </w:p>
          <w:p w:rsidR="00250617" w:rsidRPr="00E27AD5" w:rsidRDefault="00250617" w:rsidP="00250617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аналіз і прогнозування наслідків застосованих повноважень;</w:t>
            </w:r>
          </w:p>
          <w:p w:rsidR="00250617" w:rsidRPr="00E27AD5" w:rsidRDefault="00250617" w:rsidP="00250617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здатність постійно, </w:t>
            </w:r>
            <w:r w:rsidRPr="00E27AD5">
              <w:rPr>
                <w:lang w:val="uk-UA"/>
              </w:rPr>
              <w:t>критично аналізувати кінцеву ефективність;</w:t>
            </w:r>
          </w:p>
          <w:p w:rsidR="00250617" w:rsidRPr="00E27AD5" w:rsidRDefault="00250617" w:rsidP="00250617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>
              <w:rPr>
                <w:lang w:val="uk-UA"/>
              </w:rPr>
              <w:t>ефективне керівництво підлеглими</w:t>
            </w:r>
            <w:r w:rsidRPr="00E27AD5">
              <w:rPr>
                <w:lang w:val="uk-UA"/>
              </w:rPr>
              <w:t>;</w:t>
            </w:r>
          </w:p>
          <w:p w:rsidR="00250617" w:rsidRPr="00E27AD5" w:rsidRDefault="00250617" w:rsidP="00250617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вміння вирішувати комплексні завдання;</w:t>
            </w:r>
          </w:p>
          <w:p w:rsidR="00250617" w:rsidRPr="00E27AD5" w:rsidRDefault="00250617" w:rsidP="00250617">
            <w:pPr>
              <w:ind w:firstLine="138"/>
              <w:jc w:val="both"/>
              <w:rPr>
                <w:sz w:val="8"/>
                <w:szCs w:val="8"/>
                <w:lang w:val="uk-UA"/>
              </w:rPr>
            </w:pPr>
            <w:r w:rsidRPr="00E27AD5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 </w:t>
            </w:r>
            <w:r w:rsidRPr="00E27AD5">
              <w:rPr>
                <w:lang w:val="uk-UA"/>
              </w:rPr>
              <w:t>вміння працювати з великими масивами інформації.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caps/>
                <w:lang w:val="uk-UA"/>
              </w:rPr>
              <w:lastRenderedPageBreak/>
              <w:t>2.7.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Комунікації та взаємодія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numPr>
                <w:ilvl w:val="0"/>
                <w:numId w:val="4"/>
              </w:numPr>
              <w:tabs>
                <w:tab w:val="left" w:pos="388"/>
              </w:tabs>
              <w:ind w:left="134" w:firstLine="0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комунікабельність;</w:t>
            </w:r>
          </w:p>
          <w:p w:rsidR="00250617" w:rsidRPr="00E27AD5" w:rsidRDefault="00250617" w:rsidP="00250617">
            <w:pPr>
              <w:numPr>
                <w:ilvl w:val="0"/>
                <w:numId w:val="4"/>
              </w:numPr>
              <w:tabs>
                <w:tab w:val="left" w:pos="388"/>
              </w:tabs>
              <w:ind w:left="134" w:firstLine="0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вміння працювати в команді;</w:t>
            </w:r>
          </w:p>
          <w:p w:rsidR="00250617" w:rsidRPr="00E27AD5" w:rsidRDefault="00250617" w:rsidP="00250617">
            <w:pPr>
              <w:numPr>
                <w:ilvl w:val="0"/>
                <w:numId w:val="4"/>
              </w:numPr>
              <w:tabs>
                <w:tab w:val="left" w:pos="388"/>
              </w:tabs>
              <w:ind w:left="134" w:firstLine="0"/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співпраця та налагодження партнерської взаємодії;</w:t>
            </w:r>
          </w:p>
          <w:p w:rsidR="00250617" w:rsidRPr="00E27AD5" w:rsidRDefault="00250617" w:rsidP="00250617">
            <w:pPr>
              <w:ind w:left="134"/>
              <w:jc w:val="both"/>
              <w:rPr>
                <w:sz w:val="8"/>
                <w:szCs w:val="8"/>
                <w:lang w:val="uk-UA"/>
              </w:rPr>
            </w:pPr>
            <w:r w:rsidRPr="00E27AD5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  </w:t>
            </w:r>
            <w:r w:rsidRPr="00E27AD5">
              <w:rPr>
                <w:lang w:val="uk-UA"/>
              </w:rPr>
              <w:t>відкритість.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caps/>
                <w:lang w:val="uk-UA"/>
              </w:rPr>
              <w:t>2.8.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27AD5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bookmarkStart w:id="1" w:name="n98"/>
            <w:bookmarkEnd w:id="1"/>
            <w:r w:rsidRPr="00E27AD5">
              <w:rPr>
                <w:lang w:val="uk-UA"/>
              </w:rPr>
              <w:t xml:space="preserve">вміння </w:t>
            </w:r>
            <w:proofErr w:type="spellStart"/>
            <w:r w:rsidRPr="00E27AD5">
              <w:rPr>
                <w:lang w:val="uk-UA"/>
              </w:rPr>
              <w:t>логічно</w:t>
            </w:r>
            <w:proofErr w:type="spellEnd"/>
            <w:r w:rsidRPr="00E27AD5">
              <w:rPr>
                <w:lang w:val="uk-UA"/>
              </w:rPr>
              <w:t xml:space="preserve">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:rsidR="00250617" w:rsidRPr="00E27AD5" w:rsidRDefault="00250617" w:rsidP="00250617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оцінювати позитивні та негативні сторони знайденої/отриманої інформації;</w:t>
            </w:r>
          </w:p>
          <w:p w:rsidR="00250617" w:rsidRDefault="00250617" w:rsidP="00250617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всебічно вивчати ситуації, визначати, перевіряти та дет</w:t>
            </w:r>
            <w:r>
              <w:rPr>
                <w:lang w:val="uk-UA"/>
              </w:rPr>
              <w:t xml:space="preserve">алізувати проблеми у конкретній справі; </w:t>
            </w:r>
          </w:p>
          <w:p w:rsidR="00250617" w:rsidRPr="002B2263" w:rsidRDefault="00250617" w:rsidP="00250617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2B2263">
              <w:rPr>
                <w:lang w:val="uk-UA"/>
              </w:rPr>
              <w:t>здат</w:t>
            </w:r>
            <w:r>
              <w:rPr>
                <w:lang w:val="uk-UA"/>
              </w:rPr>
              <w:t>ність працювати у</w:t>
            </w:r>
            <w:r w:rsidRPr="002B2263">
              <w:rPr>
                <w:lang w:val="uk-UA"/>
              </w:rPr>
              <w:t xml:space="preserve"> декількох </w:t>
            </w:r>
            <w:proofErr w:type="spellStart"/>
            <w:r w:rsidRPr="002B2263">
              <w:rPr>
                <w:lang w:val="uk-UA"/>
              </w:rPr>
              <w:t>проєктах</w:t>
            </w:r>
            <w:proofErr w:type="spellEnd"/>
            <w:r w:rsidRPr="002B2263">
              <w:rPr>
                <w:lang w:val="uk-UA"/>
              </w:rPr>
              <w:t xml:space="preserve"> одночасно;</w:t>
            </w:r>
          </w:p>
          <w:p w:rsidR="00250617" w:rsidRPr="002B2263" w:rsidRDefault="00250617" w:rsidP="00250617">
            <w:pPr>
              <w:tabs>
                <w:tab w:val="left" w:pos="84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- </w:t>
            </w:r>
            <w:r w:rsidRPr="009E26F4">
              <w:rPr>
                <w:lang w:val="uk-UA"/>
              </w:rPr>
              <w:t xml:space="preserve">вміння надавати пропозиції, аргументувати </w:t>
            </w:r>
            <w:r>
              <w:rPr>
                <w:lang w:val="uk-UA"/>
              </w:rPr>
              <w:t xml:space="preserve">їх </w:t>
            </w:r>
            <w:r w:rsidRPr="009E26F4">
              <w:rPr>
                <w:lang w:val="uk-UA"/>
              </w:rPr>
              <w:t>та презентувати.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 w:rsidRPr="00E27AD5">
              <w:rPr>
                <w:caps/>
                <w:lang w:val="uk-UA"/>
              </w:rPr>
              <w:t>2.9.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27AD5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вміння ділитися новими знаннями;</w:t>
            </w:r>
          </w:p>
          <w:p w:rsidR="00250617" w:rsidRPr="00E27AD5" w:rsidRDefault="00250617" w:rsidP="00250617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вміння працювати в команді</w:t>
            </w:r>
            <w:r w:rsidRPr="00E27AD5">
              <w:rPr>
                <w:lang w:val="uk-UA"/>
              </w:rPr>
              <w:t>;</w:t>
            </w:r>
          </w:p>
          <w:p w:rsidR="00250617" w:rsidRPr="00E27AD5" w:rsidRDefault="00250617" w:rsidP="00250617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вміння ефективної координації з іншими працівниками.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Pr="00E27AD5">
              <w:rPr>
                <w:caps/>
                <w:lang w:val="uk-UA"/>
              </w:rPr>
              <w:t>.</w:t>
            </w:r>
            <w:r>
              <w:rPr>
                <w:caps/>
                <w:lang w:val="uk-UA"/>
              </w:rPr>
              <w:t>1</w:t>
            </w:r>
            <w:r w:rsidRPr="00E27AD5">
              <w:rPr>
                <w:caps/>
                <w:lang w:val="uk-UA"/>
              </w:rPr>
              <w:t>0.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27AD5">
              <w:rPr>
                <w:lang w:val="uk-UA" w:eastAsia="uk-UA"/>
              </w:rPr>
              <w:t>Сприйняття змін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bookmarkStart w:id="2" w:name="n105"/>
            <w:bookmarkEnd w:id="2"/>
            <w:r w:rsidRPr="00E27AD5">
              <w:rPr>
                <w:lang w:val="uk-UA"/>
              </w:rPr>
              <w:t>здатність розрізняти інноваційні зміни та слідувати їм;</w:t>
            </w:r>
          </w:p>
          <w:p w:rsidR="00250617" w:rsidRPr="00E27AD5" w:rsidRDefault="00250617" w:rsidP="00250617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здатність інтегрувати нові підходи та технології у професійну діяльність.</w:t>
            </w:r>
          </w:p>
        </w:tc>
      </w:tr>
      <w:tr w:rsidR="00250617" w:rsidRPr="00DB7C2C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Pr="00E27AD5">
              <w:rPr>
                <w:caps/>
                <w:lang w:val="uk-UA"/>
              </w:rPr>
              <w:t>.</w:t>
            </w:r>
            <w:r>
              <w:rPr>
                <w:caps/>
                <w:lang w:val="uk-UA"/>
              </w:rPr>
              <w:t>1</w:t>
            </w:r>
            <w:r w:rsidRPr="00E27AD5">
              <w:rPr>
                <w:caps/>
                <w:lang w:val="uk-UA"/>
              </w:rPr>
              <w:t>1.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вміння використовувати засоби</w:t>
            </w:r>
            <w:r w:rsidRPr="00E27AD5">
              <w:rPr>
                <w:lang w:val="uk-UA"/>
              </w:rPr>
              <w:t xml:space="preserve"> комунікацій, комп'</w:t>
            </w:r>
            <w:r>
              <w:rPr>
                <w:lang w:val="uk-UA"/>
              </w:rPr>
              <w:t>ютерну техніку</w:t>
            </w:r>
            <w:r w:rsidRPr="00E27AD5">
              <w:rPr>
                <w:lang w:val="uk-UA"/>
              </w:rPr>
              <w:t xml:space="preserve"> та прог</w:t>
            </w:r>
            <w:r>
              <w:rPr>
                <w:lang w:val="uk-UA"/>
              </w:rPr>
              <w:t>рамне забезпечення, оргтехніку</w:t>
            </w:r>
            <w:r w:rsidRPr="00E27AD5">
              <w:rPr>
                <w:lang w:val="uk-UA"/>
              </w:rPr>
              <w:t>;</w:t>
            </w:r>
          </w:p>
          <w:p w:rsidR="00250617" w:rsidRDefault="00250617" w:rsidP="00250617">
            <w:pPr>
              <w:pStyle w:val="rvps2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>
              <w:t>досвід користування програмним забезпеченням</w:t>
            </w:r>
            <w:r w:rsidRPr="00E27AD5">
              <w:t xml:space="preserve"> </w:t>
            </w:r>
            <w:r>
              <w:t>«</w:t>
            </w:r>
            <w:r w:rsidRPr="00E27AD5">
              <w:t>ERP</w:t>
            </w:r>
            <w:r>
              <w:t>» (автоматизація</w:t>
            </w:r>
            <w:r w:rsidRPr="00E27AD5">
              <w:t xml:space="preserve"> </w:t>
            </w:r>
            <w:r>
              <w:t xml:space="preserve">                    </w:t>
            </w:r>
            <w:r w:rsidRPr="00E27AD5">
              <w:t>бізнес-процесів н</w:t>
            </w:r>
            <w:r>
              <w:t xml:space="preserve">а підприємстві) або аналогічним, програмним забезпеченням </w:t>
            </w:r>
            <w:r w:rsidRPr="00E27AD5">
              <w:t xml:space="preserve"> електронного докуме</w:t>
            </w:r>
            <w:r>
              <w:t>нтообігу «АСКОД» (або аналогічним</w:t>
            </w:r>
            <w:r w:rsidRPr="00E27AD5">
              <w:t>);</w:t>
            </w:r>
          </w:p>
          <w:p w:rsidR="00250617" w:rsidRPr="00CA31F8" w:rsidRDefault="00250617" w:rsidP="00250617">
            <w:pPr>
              <w:pStyle w:val="rvps2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i/>
              </w:rPr>
            </w:pPr>
            <w:r>
              <w:t xml:space="preserve">навики роботи в підсистемі «Електронний суд» </w:t>
            </w:r>
            <w:r w:rsidRPr="00CA31F8">
              <w:rPr>
                <w:rStyle w:val="ab"/>
                <w:i w:val="0"/>
              </w:rPr>
              <w:t>Єдиної судової інформаційно-телекомунікаційної системи (ЄСІТ</w:t>
            </w:r>
            <w:r w:rsidRPr="00CA31F8">
              <w:t>С);</w:t>
            </w:r>
          </w:p>
          <w:p w:rsidR="00250617" w:rsidRPr="00CA31F8" w:rsidRDefault="00250617" w:rsidP="00250617">
            <w:pPr>
              <w:pStyle w:val="rvps2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 w:rsidRPr="00C727F8">
              <w:t>навички роботи в Інтернет</w:t>
            </w:r>
            <w:r>
              <w:t>і</w:t>
            </w:r>
            <w:r w:rsidRPr="00C727F8">
              <w:t xml:space="preserve"> для пошуку необхідних документів та інформації, зокрема нормативно-правових актів у базах </w:t>
            </w:r>
            <w:r>
              <w:t xml:space="preserve">                           </w:t>
            </w:r>
            <w:r w:rsidRPr="00C727F8">
              <w:t>«Ліга: Закон», «Законодавство України» (</w:t>
            </w:r>
            <w:r w:rsidRPr="0005618C">
              <w:t>zakon.rada.gov.ua</w:t>
            </w:r>
            <w:r>
              <w:t xml:space="preserve">), Єдиному державному реєстрі судових рішень, </w:t>
            </w:r>
            <w:r w:rsidRPr="00C727F8">
              <w:t>Єдиному державному реєстрі нормативно-правов</w:t>
            </w:r>
            <w:r>
              <w:t>их актів.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Pr="00E27AD5">
              <w:rPr>
                <w:caps/>
                <w:lang w:val="uk-UA"/>
              </w:rPr>
              <w:t>.</w:t>
            </w:r>
            <w:r>
              <w:rPr>
                <w:caps/>
                <w:lang w:val="uk-UA"/>
              </w:rPr>
              <w:t>1</w:t>
            </w:r>
            <w:r w:rsidRPr="00E27AD5">
              <w:rPr>
                <w:caps/>
                <w:lang w:val="uk-UA"/>
              </w:rPr>
              <w:t>2.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Del="00E7634A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Особистісні компетенції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D5">
              <w:rPr>
                <w:rFonts w:ascii="Times New Roman" w:hAnsi="Times New Roman"/>
                <w:sz w:val="24"/>
                <w:szCs w:val="24"/>
              </w:rPr>
              <w:t>аналітичні здібності;</w:t>
            </w:r>
          </w:p>
          <w:p w:rsidR="00250617" w:rsidRPr="00E27AD5" w:rsidRDefault="00250617" w:rsidP="00250617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D5">
              <w:rPr>
                <w:rFonts w:ascii="Times New Roman" w:hAnsi="Times New Roman"/>
                <w:sz w:val="24"/>
                <w:szCs w:val="24"/>
              </w:rPr>
              <w:lastRenderedPageBreak/>
              <w:t>ініціативність;</w:t>
            </w:r>
          </w:p>
          <w:p w:rsidR="00250617" w:rsidRPr="00E27AD5" w:rsidRDefault="00250617" w:rsidP="00250617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D5">
              <w:rPr>
                <w:rFonts w:ascii="Times New Roman" w:hAnsi="Times New Roman"/>
                <w:sz w:val="24"/>
                <w:szCs w:val="24"/>
              </w:rPr>
              <w:t>системне мислення;</w:t>
            </w:r>
          </w:p>
          <w:p w:rsidR="00250617" w:rsidRPr="00E27AD5" w:rsidRDefault="00250617" w:rsidP="00250617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D5">
              <w:rPr>
                <w:rFonts w:ascii="Times New Roman" w:hAnsi="Times New Roman"/>
                <w:sz w:val="24"/>
                <w:szCs w:val="24"/>
              </w:rPr>
              <w:t>логічність мислення;</w:t>
            </w:r>
          </w:p>
          <w:p w:rsidR="00250617" w:rsidRPr="00E27AD5" w:rsidRDefault="00250617" w:rsidP="00250617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D5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:rsidR="00250617" w:rsidRPr="00E27AD5" w:rsidRDefault="00250617" w:rsidP="00250617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D5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зрілість;</w:t>
            </w:r>
          </w:p>
          <w:p w:rsidR="00250617" w:rsidRPr="00E27AD5" w:rsidRDefault="00250617" w:rsidP="00250617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D5">
              <w:rPr>
                <w:rFonts w:ascii="Times New Roman" w:hAnsi="Times New Roman"/>
                <w:sz w:val="24"/>
                <w:szCs w:val="24"/>
              </w:rPr>
              <w:t>сміливість, чесність та відповідальність за доручену справу;</w:t>
            </w:r>
          </w:p>
          <w:p w:rsidR="00250617" w:rsidRPr="00E27AD5" w:rsidRDefault="00250617" w:rsidP="00250617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D5">
              <w:rPr>
                <w:rFonts w:ascii="Times New Roman" w:hAnsi="Times New Roman"/>
                <w:sz w:val="24"/>
                <w:szCs w:val="24"/>
              </w:rPr>
              <w:t>позитивна репутація;</w:t>
            </w:r>
          </w:p>
          <w:p w:rsidR="00250617" w:rsidRPr="00E27AD5" w:rsidRDefault="00250617" w:rsidP="00250617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8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D5">
              <w:rPr>
                <w:rFonts w:ascii="Times New Roman" w:hAnsi="Times New Roman"/>
                <w:sz w:val="24"/>
                <w:szCs w:val="24"/>
              </w:rPr>
              <w:t>комунікабельність;</w:t>
            </w:r>
          </w:p>
          <w:p w:rsidR="00250617" w:rsidRPr="00E27AD5" w:rsidRDefault="00250617" w:rsidP="00250617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D5">
              <w:rPr>
                <w:rFonts w:ascii="Times New Roman" w:hAnsi="Times New Roman"/>
                <w:sz w:val="24"/>
                <w:szCs w:val="24"/>
              </w:rPr>
              <w:t>здатність максимально використовувати власні можливості;</w:t>
            </w:r>
          </w:p>
          <w:p w:rsidR="00250617" w:rsidRPr="00E27AD5" w:rsidRDefault="00250617" w:rsidP="00250617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D5">
              <w:rPr>
                <w:rFonts w:ascii="Times New Roman" w:hAnsi="Times New Roman"/>
                <w:sz w:val="24"/>
                <w:szCs w:val="24"/>
              </w:rPr>
              <w:t>вміння працювати в стресових ситуаціях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0617" w:rsidRPr="00E27AD5" w:rsidRDefault="00250617" w:rsidP="00250617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D5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:rsidR="00250617" w:rsidRPr="00E27AD5" w:rsidRDefault="00250617" w:rsidP="00250617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AD5">
              <w:rPr>
                <w:rFonts w:ascii="Times New Roman" w:hAnsi="Times New Roman"/>
                <w:sz w:val="24"/>
                <w:szCs w:val="24"/>
              </w:rPr>
              <w:t>стійкість до стресу.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  <w:vAlign w:val="center"/>
          </w:tcPr>
          <w:p w:rsidR="00250617" w:rsidRPr="00E27AD5" w:rsidRDefault="00250617" w:rsidP="00250617">
            <w:pPr>
              <w:jc w:val="center"/>
              <w:rPr>
                <w:caps/>
                <w:lang w:val="uk-UA"/>
              </w:rPr>
            </w:pPr>
            <w:r w:rsidRPr="00E27AD5">
              <w:rPr>
                <w:b/>
                <w:lang w:val="uk-UA"/>
              </w:rPr>
              <w:lastRenderedPageBreak/>
              <w:t>ІІІ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250617" w:rsidRPr="00E27AD5" w:rsidRDefault="00250617" w:rsidP="00250617">
            <w:pPr>
              <w:jc w:val="center"/>
              <w:rPr>
                <w:b/>
                <w:lang w:val="uk-UA"/>
              </w:rPr>
            </w:pPr>
            <w:r w:rsidRPr="00E27AD5">
              <w:rPr>
                <w:b/>
                <w:lang w:val="uk-UA"/>
              </w:rPr>
              <w:t>ІНШІ ВІДОМОСТІ</w:t>
            </w:r>
          </w:p>
          <w:p w:rsidR="00250617" w:rsidRPr="00E27AD5" w:rsidRDefault="00250617" w:rsidP="00250617">
            <w:pPr>
              <w:jc w:val="center"/>
              <w:rPr>
                <w:b/>
                <w:lang w:val="uk-UA"/>
              </w:rPr>
            </w:pP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Pr="00E27AD5">
              <w:rPr>
                <w:caps/>
                <w:lang w:val="uk-UA"/>
              </w:rPr>
              <w:t>1.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Тестуванн</w:t>
            </w:r>
            <w:r>
              <w:rPr>
                <w:lang w:val="uk-UA"/>
              </w:rPr>
              <w:t xml:space="preserve">я на знання законодавства 1-го </w:t>
            </w:r>
            <w:r w:rsidRPr="00E27AD5">
              <w:rPr>
                <w:lang w:val="uk-UA"/>
              </w:rPr>
              <w:t xml:space="preserve">та </w:t>
            </w:r>
            <w:r>
              <w:rPr>
                <w:lang w:val="uk-UA"/>
              </w:rPr>
              <w:t xml:space="preserve">            </w:t>
            </w:r>
            <w:r w:rsidRPr="00E27AD5">
              <w:rPr>
                <w:lang w:val="uk-UA"/>
              </w:rPr>
              <w:t>2-го рівня (</w:t>
            </w:r>
            <w:hyperlink r:id="rId7" w:history="1">
              <w:r w:rsidRPr="00CA31F8">
                <w:rPr>
                  <w:rStyle w:val="a4"/>
                </w:rPr>
                <w:t>https://nabu.gov.ua/perelik-pytan-do-kvalifikaciynogo-ispytu</w:t>
              </w:r>
            </w:hyperlink>
            <w:r w:rsidRPr="00E27AD5">
              <w:rPr>
                <w:lang w:val="uk-UA"/>
              </w:rPr>
              <w:t>)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Pr="00E27AD5">
              <w:rPr>
                <w:caps/>
                <w:lang w:val="uk-UA"/>
              </w:rPr>
              <w:t>2.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Перелік документів:</w:t>
            </w:r>
          </w:p>
        </w:tc>
        <w:tc>
          <w:tcPr>
            <w:tcW w:w="5088" w:type="dxa"/>
            <w:shd w:val="clear" w:color="auto" w:fill="auto"/>
          </w:tcPr>
          <w:p w:rsidR="00250617" w:rsidRPr="009E26F4" w:rsidRDefault="00250617" w:rsidP="00250617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>
              <w:rPr>
                <w:rFonts w:eastAsia="Segoe UI"/>
                <w:lang w:val="uk-UA"/>
              </w:rPr>
              <w:t xml:space="preserve">     </w:t>
            </w:r>
            <w:r w:rsidRPr="009E26F4">
              <w:rPr>
                <w:rFonts w:eastAsia="Segoe UI"/>
                <w:lang w:val="uk-UA"/>
              </w:rPr>
              <w:t>О</w:t>
            </w:r>
            <w:r>
              <w:rPr>
                <w:rFonts w:eastAsia="Segoe UI"/>
                <w:lang w:val="uk-UA"/>
              </w:rPr>
              <w:t>соби, які бажають взяти участь у</w:t>
            </w:r>
            <w:r w:rsidRPr="009E26F4">
              <w:rPr>
                <w:rFonts w:eastAsia="Segoe UI"/>
                <w:lang w:val="uk-UA"/>
              </w:rPr>
              <w:t xml:space="preserve"> конкурсі</w:t>
            </w:r>
            <w:r>
              <w:rPr>
                <w:rFonts w:eastAsia="Segoe UI"/>
                <w:lang w:val="uk-UA"/>
              </w:rPr>
              <w:t>,</w:t>
            </w:r>
            <w:r w:rsidRPr="009E26F4">
              <w:rPr>
                <w:rFonts w:eastAsia="Segoe UI"/>
                <w:lang w:val="uk-UA"/>
              </w:rPr>
              <w:t xml:space="preserve"> подають в електронній формі безпосередньо </w:t>
            </w:r>
            <w:r w:rsidRPr="009E26F4">
              <w:rPr>
                <w:rFonts w:eastAsia="Segoe UI"/>
                <w:b/>
                <w:lang w:val="uk-UA"/>
              </w:rPr>
              <w:t xml:space="preserve">через </w:t>
            </w:r>
            <w:proofErr w:type="spellStart"/>
            <w:r w:rsidRPr="009E26F4">
              <w:rPr>
                <w:rFonts w:eastAsia="Segoe UI"/>
                <w:b/>
                <w:lang w:val="uk-UA"/>
              </w:rPr>
              <w:t>вебсайт</w:t>
            </w:r>
            <w:proofErr w:type="spellEnd"/>
            <w:r w:rsidRPr="009E26F4">
              <w:rPr>
                <w:rFonts w:eastAsia="Segoe UI"/>
                <w:b/>
                <w:lang w:val="uk-UA"/>
              </w:rPr>
              <w:t xml:space="preserve"> Національного бюро</w:t>
            </w:r>
            <w:r w:rsidRPr="009E26F4">
              <w:rPr>
                <w:rFonts w:eastAsia="Segoe UI"/>
                <w:lang w:val="uk-UA"/>
              </w:rPr>
              <w:t>:</w:t>
            </w:r>
          </w:p>
          <w:p w:rsidR="00250617" w:rsidRPr="009E26F4" w:rsidRDefault="00250617" w:rsidP="00250617">
            <w:pPr>
              <w:pStyle w:val="a5"/>
              <w:numPr>
                <w:ilvl w:val="0"/>
                <w:numId w:val="13"/>
              </w:numPr>
              <w:tabs>
                <w:tab w:val="left" w:pos="486"/>
              </w:tabs>
              <w:ind w:left="0" w:firstLine="316"/>
              <w:jc w:val="both"/>
              <w:rPr>
                <w:rFonts w:eastAsia="Segoe UI"/>
              </w:rPr>
            </w:pPr>
            <w:proofErr w:type="spellStart"/>
            <w:r w:rsidRPr="009E26F4">
              <w:rPr>
                <w:rFonts w:eastAsia="Segoe UI"/>
              </w:rPr>
              <w:t>заяву</w:t>
            </w:r>
            <w:proofErr w:type="spellEnd"/>
            <w:r w:rsidRPr="009E26F4">
              <w:rPr>
                <w:rFonts w:eastAsia="Segoe UI"/>
              </w:rPr>
              <w:t xml:space="preserve"> про участь у </w:t>
            </w:r>
            <w:proofErr w:type="spellStart"/>
            <w:r w:rsidRPr="009E26F4">
              <w:rPr>
                <w:rFonts w:eastAsia="Segoe UI"/>
              </w:rPr>
              <w:t>конкурсі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встановленого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зразка</w:t>
            </w:r>
            <w:proofErr w:type="spellEnd"/>
            <w:r w:rsidRPr="009E26F4">
              <w:rPr>
                <w:rFonts w:eastAsia="Segoe UI"/>
              </w:rPr>
              <w:t xml:space="preserve">, </w:t>
            </w:r>
            <w:proofErr w:type="spellStart"/>
            <w:r w:rsidRPr="009E26F4">
              <w:rPr>
                <w:rFonts w:eastAsia="Segoe UI"/>
              </w:rPr>
              <w:t>підписану</w:t>
            </w:r>
            <w:proofErr w:type="spellEnd"/>
            <w:r w:rsidRPr="009E26F4">
              <w:rPr>
                <w:rFonts w:eastAsia="Segoe UI"/>
              </w:rPr>
              <w:t xml:space="preserve"> з </w:t>
            </w:r>
            <w:proofErr w:type="spellStart"/>
            <w:r w:rsidRPr="009E26F4">
              <w:rPr>
                <w:rFonts w:eastAsia="Segoe UI"/>
              </w:rPr>
              <w:t>використанням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кваліфікованого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електронного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підпису</w:t>
            </w:r>
            <w:proofErr w:type="spellEnd"/>
            <w:r w:rsidRPr="009E26F4">
              <w:rPr>
                <w:rFonts w:eastAsia="Segoe UI"/>
              </w:rPr>
              <w:t xml:space="preserve"> (</w:t>
            </w:r>
            <w:proofErr w:type="spellStart"/>
            <w:r w:rsidRPr="009E26F4">
              <w:rPr>
                <w:rFonts w:eastAsia="Segoe UI"/>
              </w:rPr>
              <w:t>далі</w:t>
            </w:r>
            <w:proofErr w:type="spellEnd"/>
            <w:r w:rsidRPr="009E26F4">
              <w:rPr>
                <w:rFonts w:eastAsia="Segoe UI"/>
              </w:rPr>
              <w:t xml:space="preserve"> – КЕП) (</w:t>
            </w:r>
            <w:proofErr w:type="spellStart"/>
            <w:r w:rsidRPr="009E26F4">
              <w:rPr>
                <w:rFonts w:eastAsia="Segoe UI"/>
              </w:rPr>
              <w:t>додаток</w:t>
            </w:r>
            <w:proofErr w:type="spellEnd"/>
            <w:r w:rsidRPr="009E26F4">
              <w:rPr>
                <w:rFonts w:eastAsia="Segoe UI"/>
              </w:rPr>
              <w:t xml:space="preserve"> 3) </w:t>
            </w:r>
            <w:proofErr w:type="spellStart"/>
            <w:r w:rsidRPr="009E26F4">
              <w:rPr>
                <w:rFonts w:eastAsia="Segoe UI"/>
              </w:rPr>
              <w:t>із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обов’язковим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зазначенням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назви</w:t>
            </w:r>
            <w:proofErr w:type="spellEnd"/>
            <w:r w:rsidRPr="009E26F4">
              <w:rPr>
                <w:rFonts w:eastAsia="Segoe UI"/>
              </w:rPr>
              <w:t xml:space="preserve"> посади та коду посади;</w:t>
            </w:r>
          </w:p>
          <w:p w:rsidR="00250617" w:rsidRPr="009E26F4" w:rsidRDefault="00250617" w:rsidP="00250617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ind w:left="0" w:firstLine="316"/>
              <w:jc w:val="both"/>
              <w:rPr>
                <w:rFonts w:eastAsia="Segoe UI"/>
              </w:rPr>
            </w:pPr>
            <w:r w:rsidRPr="009E26F4">
              <w:rPr>
                <w:rFonts w:eastAsia="Segoe UI"/>
              </w:rPr>
              <w:t xml:space="preserve">анкету кандидата </w:t>
            </w:r>
            <w:proofErr w:type="gramStart"/>
            <w:r w:rsidRPr="009E26F4">
              <w:rPr>
                <w:rFonts w:eastAsia="Segoe UI"/>
              </w:rPr>
              <w:t>на посаду</w:t>
            </w:r>
            <w:proofErr w:type="gramEnd"/>
            <w:r w:rsidRPr="009E26F4">
              <w:rPr>
                <w:rFonts w:eastAsia="Segoe UI"/>
              </w:rPr>
              <w:t xml:space="preserve"> до </w:t>
            </w:r>
            <w:proofErr w:type="spellStart"/>
            <w:r w:rsidRPr="009E26F4">
              <w:rPr>
                <w:rFonts w:eastAsia="Segoe UI"/>
              </w:rPr>
              <w:t>Національного</w:t>
            </w:r>
            <w:proofErr w:type="spellEnd"/>
            <w:r w:rsidRPr="009E26F4">
              <w:rPr>
                <w:rFonts w:eastAsia="Segoe UI"/>
              </w:rPr>
              <w:t xml:space="preserve"> бюро (</w:t>
            </w:r>
            <w:proofErr w:type="spellStart"/>
            <w:r w:rsidRPr="009E26F4">
              <w:rPr>
                <w:rFonts w:eastAsia="Segoe UI"/>
              </w:rPr>
              <w:t>заповнюється</w:t>
            </w:r>
            <w:proofErr w:type="spellEnd"/>
            <w:r w:rsidRPr="009E26F4">
              <w:rPr>
                <w:rFonts w:eastAsia="Segoe UI"/>
              </w:rPr>
              <w:t xml:space="preserve"> через вебсайт </w:t>
            </w:r>
            <w:proofErr w:type="spellStart"/>
            <w:r w:rsidRPr="009E26F4">
              <w:rPr>
                <w:rFonts w:eastAsia="Segoe UI"/>
              </w:rPr>
              <w:t>Національного</w:t>
            </w:r>
            <w:proofErr w:type="spellEnd"/>
            <w:r w:rsidRPr="009E26F4">
              <w:rPr>
                <w:rFonts w:eastAsia="Segoe UI"/>
              </w:rPr>
              <w:t xml:space="preserve"> бюро);</w:t>
            </w:r>
          </w:p>
          <w:p w:rsidR="00250617" w:rsidRPr="009E26F4" w:rsidRDefault="00250617" w:rsidP="00250617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ind w:left="0" w:firstLine="316"/>
              <w:jc w:val="both"/>
              <w:rPr>
                <w:rFonts w:eastAsia="Segoe UI"/>
              </w:rPr>
            </w:pPr>
            <w:proofErr w:type="spellStart"/>
            <w:r w:rsidRPr="009E26F4">
              <w:rPr>
                <w:rFonts w:eastAsia="Segoe UI"/>
              </w:rPr>
              <w:t>Державний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сертифікат</w:t>
            </w:r>
            <w:proofErr w:type="spellEnd"/>
            <w:r w:rsidRPr="009E26F4">
              <w:rPr>
                <w:rFonts w:eastAsia="Segoe UI"/>
              </w:rPr>
              <w:t xml:space="preserve"> про </w:t>
            </w:r>
            <w:proofErr w:type="spellStart"/>
            <w:r w:rsidRPr="009E26F4">
              <w:rPr>
                <w:rFonts w:eastAsia="Segoe UI"/>
              </w:rPr>
              <w:t>рівень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володіння</w:t>
            </w:r>
            <w:proofErr w:type="spellEnd"/>
            <w:r w:rsidRPr="009E26F4">
              <w:rPr>
                <w:rFonts w:eastAsia="Segoe UI"/>
              </w:rPr>
              <w:t xml:space="preserve"> державною </w:t>
            </w:r>
            <w:proofErr w:type="spellStart"/>
            <w:r w:rsidRPr="009E26F4">
              <w:rPr>
                <w:rFonts w:eastAsia="Segoe UI"/>
              </w:rPr>
              <w:t>мовою</w:t>
            </w:r>
            <w:proofErr w:type="spellEnd"/>
            <w:r w:rsidRPr="009E26F4">
              <w:rPr>
                <w:rFonts w:eastAsia="Segoe UI"/>
              </w:rPr>
              <w:t xml:space="preserve"> (</w:t>
            </w:r>
            <w:proofErr w:type="spellStart"/>
            <w:r w:rsidRPr="009E26F4">
              <w:rPr>
                <w:rFonts w:eastAsia="Segoe UI"/>
              </w:rPr>
              <w:t>витяг</w:t>
            </w:r>
            <w:proofErr w:type="spellEnd"/>
            <w:r w:rsidRPr="009E26F4">
              <w:rPr>
                <w:rFonts w:eastAsia="Segoe UI"/>
              </w:rPr>
              <w:t xml:space="preserve"> з </w:t>
            </w:r>
            <w:proofErr w:type="spellStart"/>
            <w:r w:rsidRPr="009E26F4">
              <w:rPr>
                <w:rFonts w:eastAsia="Segoe UI"/>
              </w:rPr>
              <w:t>реєстру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Державних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сертифікатів</w:t>
            </w:r>
            <w:proofErr w:type="spellEnd"/>
            <w:r w:rsidRPr="009E26F4">
              <w:rPr>
                <w:rFonts w:eastAsia="Segoe UI"/>
              </w:rPr>
              <w:t xml:space="preserve"> про </w:t>
            </w:r>
            <w:proofErr w:type="spellStart"/>
            <w:r w:rsidRPr="009E26F4">
              <w:rPr>
                <w:rFonts w:eastAsia="Segoe UI"/>
              </w:rPr>
              <w:t>рівень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володіння</w:t>
            </w:r>
            <w:proofErr w:type="spellEnd"/>
            <w:r w:rsidRPr="009E26F4">
              <w:rPr>
                <w:rFonts w:eastAsia="Segoe UI"/>
              </w:rPr>
              <w:t xml:space="preserve"> державною </w:t>
            </w:r>
            <w:proofErr w:type="spellStart"/>
            <w:r w:rsidRPr="009E26F4">
              <w:rPr>
                <w:rFonts w:eastAsia="Segoe UI"/>
              </w:rPr>
              <w:t>мовою</w:t>
            </w:r>
            <w:proofErr w:type="spellEnd"/>
            <w:r w:rsidRPr="009E26F4">
              <w:rPr>
                <w:rFonts w:eastAsia="Segoe UI"/>
              </w:rPr>
              <w:t xml:space="preserve">), </w:t>
            </w:r>
            <w:proofErr w:type="spellStart"/>
            <w:r w:rsidRPr="009E26F4">
              <w:rPr>
                <w:rFonts w:eastAsia="Segoe UI"/>
              </w:rPr>
              <w:t>що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підтверджує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рівень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володіння</w:t>
            </w:r>
            <w:proofErr w:type="spellEnd"/>
            <w:r w:rsidRPr="009E26F4">
              <w:rPr>
                <w:rFonts w:eastAsia="Segoe UI"/>
              </w:rPr>
              <w:t xml:space="preserve"> державною </w:t>
            </w:r>
            <w:proofErr w:type="spellStart"/>
            <w:r w:rsidRPr="009E26F4">
              <w:rPr>
                <w:rFonts w:eastAsia="Segoe UI"/>
              </w:rPr>
              <w:t>мовою</w:t>
            </w:r>
            <w:proofErr w:type="spellEnd"/>
            <w:r w:rsidRPr="009E26F4">
              <w:rPr>
                <w:rFonts w:eastAsia="Segoe UI"/>
              </w:rPr>
              <w:t xml:space="preserve">, </w:t>
            </w:r>
            <w:proofErr w:type="spellStart"/>
            <w:r w:rsidRPr="009E26F4">
              <w:rPr>
                <w:rFonts w:eastAsia="Segoe UI"/>
              </w:rPr>
              <w:t>визначений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Національною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комісією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зі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стандартів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державної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мови</w:t>
            </w:r>
            <w:proofErr w:type="spellEnd"/>
            <w:r w:rsidRPr="009E26F4">
              <w:rPr>
                <w:rFonts w:eastAsia="Segoe UI"/>
              </w:rPr>
              <w:t>;</w:t>
            </w:r>
          </w:p>
          <w:p w:rsidR="00250617" w:rsidRPr="009E26F4" w:rsidRDefault="00250617" w:rsidP="00250617">
            <w:pPr>
              <w:pStyle w:val="a5"/>
              <w:numPr>
                <w:ilvl w:val="0"/>
                <w:numId w:val="13"/>
              </w:numPr>
              <w:tabs>
                <w:tab w:val="left" w:pos="486"/>
              </w:tabs>
              <w:ind w:left="0" w:firstLine="316"/>
              <w:jc w:val="both"/>
              <w:rPr>
                <w:rFonts w:eastAsia="Segoe UI"/>
              </w:rPr>
            </w:pPr>
            <w:proofErr w:type="spellStart"/>
            <w:r w:rsidRPr="009E26F4">
              <w:rPr>
                <w:rFonts w:eastAsia="Segoe UI"/>
              </w:rPr>
              <w:t>декларацію</w:t>
            </w:r>
            <w:proofErr w:type="spellEnd"/>
            <w:r w:rsidRPr="009E26F4">
              <w:rPr>
                <w:rFonts w:eastAsia="Segoe UI"/>
              </w:rPr>
              <w:t xml:space="preserve"> особи, </w:t>
            </w:r>
            <w:proofErr w:type="spellStart"/>
            <w:r w:rsidRPr="009E26F4">
              <w:rPr>
                <w:rFonts w:eastAsia="Segoe UI"/>
              </w:rPr>
              <w:t>уповноваженої</w:t>
            </w:r>
            <w:proofErr w:type="spellEnd"/>
            <w:r w:rsidRPr="009E26F4">
              <w:rPr>
                <w:rFonts w:eastAsia="Segoe UI"/>
              </w:rPr>
              <w:t xml:space="preserve"> на </w:t>
            </w:r>
            <w:proofErr w:type="spellStart"/>
            <w:r w:rsidRPr="009E26F4">
              <w:rPr>
                <w:rFonts w:eastAsia="Segoe UI"/>
              </w:rPr>
              <w:t>виконання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функцій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держави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або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місцевого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самоврядування</w:t>
            </w:r>
            <w:proofErr w:type="spellEnd"/>
            <w:r w:rsidRPr="009E26F4">
              <w:rPr>
                <w:rFonts w:eastAsia="Segoe UI"/>
              </w:rPr>
              <w:t xml:space="preserve">, за </w:t>
            </w:r>
            <w:proofErr w:type="spellStart"/>
            <w:r w:rsidRPr="009E26F4">
              <w:rPr>
                <w:rFonts w:eastAsia="Segoe UI"/>
              </w:rPr>
              <w:t>минулий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рік</w:t>
            </w:r>
            <w:proofErr w:type="spellEnd"/>
            <w:r w:rsidRPr="009E26F4">
              <w:rPr>
                <w:rFonts w:eastAsia="Segoe UI"/>
              </w:rPr>
              <w:t xml:space="preserve">, </w:t>
            </w:r>
            <w:proofErr w:type="spellStart"/>
            <w:r w:rsidRPr="009E26F4">
              <w:rPr>
                <w:rFonts w:eastAsia="Segoe UI"/>
              </w:rPr>
              <w:t>подану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gramStart"/>
            <w:r w:rsidRPr="009E26F4">
              <w:rPr>
                <w:rFonts w:eastAsia="Segoe UI"/>
              </w:rPr>
              <w:t>в порядку</w:t>
            </w:r>
            <w:proofErr w:type="gramEnd"/>
            <w:r w:rsidRPr="009E26F4">
              <w:rPr>
                <w:rFonts w:eastAsia="Segoe UI"/>
              </w:rPr>
              <w:t xml:space="preserve">, </w:t>
            </w:r>
            <w:proofErr w:type="spellStart"/>
            <w:r w:rsidRPr="009E26F4">
              <w:rPr>
                <w:rFonts w:eastAsia="Segoe UI"/>
              </w:rPr>
              <w:t>встановленому</w:t>
            </w:r>
            <w:proofErr w:type="spellEnd"/>
            <w:r w:rsidRPr="009E26F4">
              <w:rPr>
                <w:rFonts w:eastAsia="Segoe UI"/>
              </w:rPr>
              <w:t xml:space="preserve"> Законом </w:t>
            </w:r>
            <w:proofErr w:type="spellStart"/>
            <w:r w:rsidRPr="009E26F4">
              <w:rPr>
                <w:rFonts w:eastAsia="Segoe UI"/>
              </w:rPr>
              <w:t>України</w:t>
            </w:r>
            <w:proofErr w:type="spellEnd"/>
            <w:r w:rsidRPr="009E26F4">
              <w:rPr>
                <w:rFonts w:eastAsia="Segoe UI"/>
              </w:rPr>
              <w:t xml:space="preserve"> «Про </w:t>
            </w:r>
            <w:proofErr w:type="spellStart"/>
            <w:r w:rsidRPr="009E26F4">
              <w:rPr>
                <w:rFonts w:eastAsia="Segoe UI"/>
              </w:rPr>
              <w:t>запобігання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корупції</w:t>
            </w:r>
            <w:proofErr w:type="spellEnd"/>
            <w:r w:rsidRPr="009E26F4">
              <w:rPr>
                <w:rFonts w:eastAsia="Segoe UI"/>
              </w:rPr>
              <w:t xml:space="preserve">», як кандидата на посаду.    </w:t>
            </w:r>
          </w:p>
          <w:p w:rsidR="00250617" w:rsidRPr="009E26F4" w:rsidRDefault="00250617" w:rsidP="00250617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9E26F4">
              <w:rPr>
                <w:rFonts w:eastAsia="Segoe UI"/>
                <w:lang w:val="uk-UA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250617" w:rsidRPr="009E26F4" w:rsidRDefault="00250617" w:rsidP="00250617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9E26F4">
              <w:rPr>
                <w:rFonts w:eastAsia="Segoe UI"/>
                <w:lang w:val="uk-UA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</w:t>
            </w:r>
            <w:r w:rsidRPr="00E05C33">
              <w:rPr>
                <w:rFonts w:eastAsia="Segoe UI"/>
                <w:vertAlign w:val="superscript"/>
                <w:lang w:val="uk-UA"/>
              </w:rPr>
              <w:t>-1</w:t>
            </w:r>
            <w:r w:rsidRPr="009E26F4">
              <w:rPr>
                <w:rFonts w:eastAsia="Segoe UI"/>
                <w:lang w:val="uk-UA"/>
              </w:rPr>
              <w:t xml:space="preserve"> Закону України «Про запобігання корупції», разом з пакетом документів для участі в конкурсі зобов’язані долучити копію </w:t>
            </w:r>
            <w:r w:rsidRPr="009E26F4">
              <w:rPr>
                <w:rFonts w:eastAsia="Segoe UI"/>
                <w:lang w:val="uk-UA"/>
              </w:rPr>
              <w:lastRenderedPageBreak/>
              <w:t xml:space="preserve">заповненої паперової декларації (додаток </w:t>
            </w:r>
            <w:r>
              <w:rPr>
                <w:rFonts w:eastAsia="Segoe UI"/>
                <w:lang w:val="uk-UA"/>
              </w:rPr>
              <w:t>5) та обґрунтоване клопотання відповідній конкурсній</w:t>
            </w:r>
            <w:r w:rsidRPr="009E26F4">
              <w:rPr>
                <w:rFonts w:eastAsia="Segoe UI"/>
                <w:lang w:val="uk-UA"/>
              </w:rPr>
              <w:t xml:space="preserve"> к</w:t>
            </w:r>
            <w:r>
              <w:rPr>
                <w:rFonts w:eastAsia="Segoe UI"/>
                <w:lang w:val="uk-UA"/>
              </w:rPr>
              <w:t>омісії</w:t>
            </w:r>
            <w:r w:rsidRPr="009E26F4">
              <w:rPr>
                <w:rFonts w:eastAsia="Segoe UI"/>
                <w:lang w:val="uk-UA"/>
              </w:rPr>
              <w:t xml:space="preserve"> щодо подання такої декларації;</w:t>
            </w:r>
          </w:p>
          <w:p w:rsidR="00250617" w:rsidRDefault="00250617" w:rsidP="00250617">
            <w:pPr>
              <w:pStyle w:val="a5"/>
              <w:numPr>
                <w:ilvl w:val="0"/>
                <w:numId w:val="13"/>
              </w:numPr>
              <w:tabs>
                <w:tab w:val="left" w:pos="486"/>
              </w:tabs>
              <w:ind w:left="0" w:firstLine="316"/>
              <w:jc w:val="both"/>
              <w:rPr>
                <w:lang w:val="uk-UA"/>
              </w:rPr>
            </w:pPr>
            <w:r w:rsidRPr="00E05C33">
              <w:rPr>
                <w:rFonts w:eastAsia="Segoe UI"/>
                <w:lang w:val="uk-UA"/>
              </w:rPr>
              <w:t>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E05C33">
              <w:rPr>
                <w:lang w:val="uk-UA"/>
              </w:rPr>
              <w:t xml:space="preserve"> </w:t>
            </w:r>
          </w:p>
          <w:p w:rsidR="00250617" w:rsidRPr="00E05C33" w:rsidRDefault="00250617" w:rsidP="00250617">
            <w:pPr>
              <w:pStyle w:val="a5"/>
              <w:tabs>
                <w:tab w:val="left" w:pos="486"/>
              </w:tabs>
              <w:ind w:left="316"/>
              <w:jc w:val="both"/>
              <w:rPr>
                <w:lang w:val="uk-UA"/>
              </w:rPr>
            </w:pPr>
          </w:p>
          <w:p w:rsidR="00250617" w:rsidRPr="009E26F4" w:rsidRDefault="00250617" w:rsidP="00250617">
            <w:pPr>
              <w:ind w:right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9E26F4">
              <w:rPr>
                <w:lang w:val="uk-UA"/>
              </w:rPr>
              <w:t xml:space="preserve">Особи, які є працівниками Національного бюро та бажають взяти участь у конкурсі, подають в електронній формі </w:t>
            </w:r>
            <w:r w:rsidRPr="009E26F4">
              <w:rPr>
                <w:b/>
                <w:lang w:val="uk-UA"/>
              </w:rPr>
              <w:t xml:space="preserve">безпосередньо через </w:t>
            </w:r>
            <w:proofErr w:type="spellStart"/>
            <w:r w:rsidRPr="009E26F4">
              <w:rPr>
                <w:b/>
                <w:lang w:val="uk-UA"/>
              </w:rPr>
              <w:t>вебсайт</w:t>
            </w:r>
            <w:proofErr w:type="spellEnd"/>
            <w:r w:rsidRPr="009E26F4">
              <w:rPr>
                <w:b/>
                <w:lang w:val="uk-UA"/>
              </w:rPr>
              <w:t xml:space="preserve"> Національного бюро</w:t>
            </w:r>
            <w:r w:rsidRPr="009E26F4">
              <w:rPr>
                <w:lang w:val="uk-UA"/>
              </w:rPr>
              <w:t>:</w:t>
            </w:r>
          </w:p>
          <w:p w:rsidR="00250617" w:rsidRPr="009E26F4" w:rsidRDefault="00250617" w:rsidP="00250617">
            <w:pPr>
              <w:numPr>
                <w:ilvl w:val="0"/>
                <w:numId w:val="14"/>
              </w:numPr>
              <w:spacing w:after="3" w:line="249" w:lineRule="auto"/>
              <w:ind w:left="0" w:right="1" w:firstLine="316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заяву про участь у конкурсі встановленого зразка, підписану КЕП (додаток 3); </w:t>
            </w:r>
          </w:p>
          <w:p w:rsidR="00250617" w:rsidRPr="009E26F4" w:rsidRDefault="00250617" w:rsidP="00250617">
            <w:pPr>
              <w:numPr>
                <w:ilvl w:val="0"/>
                <w:numId w:val="14"/>
              </w:numPr>
              <w:spacing w:after="3" w:line="249" w:lineRule="auto"/>
              <w:ind w:left="0" w:right="1" w:firstLine="316"/>
              <w:contextualSpacing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9E26F4">
              <w:rPr>
                <w:lang w:val="uk-UA"/>
              </w:rPr>
              <w:t>вебсайт</w:t>
            </w:r>
            <w:proofErr w:type="spellEnd"/>
            <w:r w:rsidRPr="009E26F4">
              <w:rPr>
                <w:lang w:val="uk-UA"/>
              </w:rPr>
              <w:t xml:space="preserve"> Національного бюро);</w:t>
            </w:r>
          </w:p>
          <w:p w:rsidR="00250617" w:rsidRPr="009E26F4" w:rsidRDefault="00250617" w:rsidP="00250617">
            <w:pPr>
              <w:numPr>
                <w:ilvl w:val="0"/>
                <w:numId w:val="14"/>
              </w:numPr>
              <w:spacing w:after="3" w:line="249" w:lineRule="auto"/>
              <w:ind w:left="0" w:right="1" w:firstLine="316"/>
              <w:contextualSpacing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250617" w:rsidRPr="000F7FA5" w:rsidRDefault="00250617" w:rsidP="00250617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>
              <w:rPr>
                <w:rFonts w:eastAsia="Segoe UI"/>
                <w:lang w:val="uk-UA"/>
              </w:rPr>
              <w:t xml:space="preserve">     </w:t>
            </w:r>
            <w:r w:rsidRPr="000F7FA5">
              <w:rPr>
                <w:rFonts w:eastAsia="Segoe UI"/>
                <w:lang w:val="uk-UA"/>
              </w:rPr>
              <w:t xml:space="preserve">Зразки заяв розміщені на офіційному </w:t>
            </w:r>
            <w:proofErr w:type="spellStart"/>
            <w:r w:rsidRPr="000F7FA5">
              <w:rPr>
                <w:rFonts w:eastAsia="Segoe UI"/>
                <w:lang w:val="uk-UA"/>
              </w:rPr>
              <w:t>вебсайті</w:t>
            </w:r>
            <w:proofErr w:type="spellEnd"/>
            <w:r w:rsidRPr="000F7FA5">
              <w:rPr>
                <w:rFonts w:eastAsia="Segoe UI"/>
                <w:lang w:val="uk-UA"/>
              </w:rPr>
              <w:t xml:space="preserve"> Національного бюро </w:t>
            </w:r>
            <w:r>
              <w:rPr>
                <w:rFonts w:eastAsia="Segoe UI"/>
                <w:lang w:val="uk-UA"/>
              </w:rPr>
              <w:t>(</w:t>
            </w:r>
            <w:r w:rsidRPr="00CA31F8">
              <w:rPr>
                <w:rStyle w:val="a4"/>
              </w:rPr>
              <w:t>https://nabu.gov.ua/robota-v-nabu/pravila-priiomu/poryadok-provedennya-vidkrytogo-konkursu/</w:t>
            </w:r>
            <w:r w:rsidRPr="000F7FA5">
              <w:rPr>
                <w:rFonts w:eastAsia="Segoe UI"/>
                <w:lang w:val="uk-UA"/>
              </w:rPr>
              <w:t xml:space="preserve">  (Порядок проведення відкритого конкурсу, розділ ІІІ).</w:t>
            </w:r>
          </w:p>
          <w:p w:rsidR="00250617" w:rsidRPr="009E26F4" w:rsidRDefault="00250617" w:rsidP="00250617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250617" w:rsidRPr="00C727F8" w:rsidRDefault="00250617" w:rsidP="00250617">
            <w:pPr>
              <w:spacing w:line="272" w:lineRule="exact"/>
              <w:ind w:left="-16"/>
              <w:jc w:val="both"/>
              <w:rPr>
                <w:lang w:val="uk-UA"/>
              </w:rPr>
            </w:pPr>
            <w:r>
              <w:rPr>
                <w:rFonts w:eastAsia="Segoe UI"/>
                <w:lang w:val="uk-UA"/>
              </w:rPr>
              <w:t xml:space="preserve">      </w:t>
            </w:r>
            <w:r w:rsidRPr="009E26F4">
              <w:rPr>
                <w:rFonts w:eastAsia="Segoe UI"/>
                <w:lang w:val="uk-UA"/>
              </w:rPr>
              <w:t>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1.</w:t>
            </w:r>
            <w:r w:rsidRPr="00E27AD5">
              <w:rPr>
                <w:caps/>
                <w:lang w:val="uk-UA"/>
              </w:rPr>
              <w:t>3.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Термін подання документів</w:t>
            </w:r>
          </w:p>
        </w:tc>
        <w:tc>
          <w:tcPr>
            <w:tcW w:w="5088" w:type="dxa"/>
            <w:shd w:val="clear" w:color="auto" w:fill="auto"/>
            <w:vAlign w:val="center"/>
          </w:tcPr>
          <w:p w:rsidR="00250617" w:rsidRPr="00E27AD5" w:rsidRDefault="00250617" w:rsidP="002506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10</w:t>
            </w:r>
            <w:r w:rsidRPr="00E27AD5">
              <w:rPr>
                <w:lang w:val="uk-UA"/>
              </w:rPr>
              <w:t xml:space="preserve"> календарних днів.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Pr="00E27AD5">
              <w:rPr>
                <w:caps/>
                <w:lang w:val="uk-UA"/>
              </w:rPr>
              <w:t>4.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Прийом документів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 xml:space="preserve">За посиланням на </w:t>
            </w:r>
            <w:proofErr w:type="spellStart"/>
            <w:r w:rsidRPr="00E27AD5">
              <w:rPr>
                <w:lang w:val="uk-UA"/>
              </w:rPr>
              <w:t>вебсайті</w:t>
            </w:r>
            <w:proofErr w:type="spellEnd"/>
            <w:r w:rsidRPr="00E27AD5">
              <w:rPr>
                <w:lang w:val="uk-UA"/>
              </w:rPr>
              <w:t xml:space="preserve"> Національного бюро </w:t>
            </w:r>
            <w:hyperlink r:id="rId8" w:history="1">
              <w:r w:rsidRPr="00CA31F8">
                <w:rPr>
                  <w:rStyle w:val="a4"/>
                </w:rPr>
                <w:t>https://nabu.gov.ua/robota-v-nabu/perelik-vakansiy/</w:t>
              </w:r>
            </w:hyperlink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Pr="00E27AD5">
              <w:rPr>
                <w:caps/>
                <w:lang w:val="uk-UA"/>
              </w:rPr>
              <w:t>5.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Контактні дані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E-</w:t>
            </w:r>
            <w:proofErr w:type="spellStart"/>
            <w:r w:rsidRPr="00E27AD5">
              <w:rPr>
                <w:lang w:val="uk-UA"/>
              </w:rPr>
              <w:t>mail</w:t>
            </w:r>
            <w:proofErr w:type="spellEnd"/>
            <w:r w:rsidRPr="00E27AD5">
              <w:rPr>
                <w:lang w:val="uk-UA"/>
              </w:rPr>
              <w:t>: </w:t>
            </w:r>
            <w:hyperlink r:id="rId9" w:history="1">
              <w:r w:rsidRPr="00E27AD5">
                <w:rPr>
                  <w:rStyle w:val="a4"/>
                  <w:color w:val="auto"/>
                  <w:lang w:val="uk-UA"/>
                </w:rPr>
                <w:t>commission2@nabu.gov.ua</w:t>
              </w:r>
            </w:hyperlink>
          </w:p>
          <w:p w:rsidR="00250617" w:rsidRPr="00E27AD5" w:rsidRDefault="00250617" w:rsidP="00250617">
            <w:pPr>
              <w:jc w:val="both"/>
              <w:rPr>
                <w:lang w:val="uk-UA"/>
              </w:rPr>
            </w:pPr>
            <w:proofErr w:type="spellStart"/>
            <w:r w:rsidRPr="00E27AD5">
              <w:rPr>
                <w:lang w:val="uk-UA"/>
              </w:rPr>
              <w:t>Тел</w:t>
            </w:r>
            <w:proofErr w:type="spellEnd"/>
            <w:r w:rsidRPr="00E27AD5">
              <w:rPr>
                <w:lang w:val="uk-UA"/>
              </w:rPr>
              <w:t>.:(044) 246-30-03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Pr="00E27AD5">
              <w:rPr>
                <w:caps/>
                <w:lang w:val="uk-UA"/>
              </w:rPr>
              <w:t>6.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Умови оплати праці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 xml:space="preserve">Посадовий оклад: </w:t>
            </w:r>
            <w:r w:rsidR="00D91D23">
              <w:rPr>
                <w:lang w:val="uk-UA"/>
              </w:rPr>
              <w:t>46 0</w:t>
            </w:r>
            <w:r>
              <w:rPr>
                <w:lang w:val="uk-UA"/>
              </w:rPr>
              <w:t>80</w:t>
            </w:r>
            <w:r w:rsidRPr="00E27AD5">
              <w:rPr>
                <w:lang w:val="uk-UA"/>
              </w:rPr>
              <w:t xml:space="preserve"> грн.</w:t>
            </w:r>
          </w:p>
          <w:p w:rsidR="00250617" w:rsidRPr="00E27AD5" w:rsidRDefault="00250617" w:rsidP="00250617">
            <w:pPr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lastRenderedPageBreak/>
              <w:t>Доплати: відповідно до статті 23 Закону України «Про Національне антикорупційне бюро України»</w:t>
            </w:r>
          </w:p>
        </w:tc>
      </w:tr>
      <w:tr w:rsidR="00250617" w:rsidRPr="00E27AD5" w:rsidTr="002F7DF7">
        <w:tc>
          <w:tcPr>
            <w:tcW w:w="696" w:type="dxa"/>
            <w:shd w:val="clear" w:color="auto" w:fill="auto"/>
          </w:tcPr>
          <w:p w:rsidR="00250617" w:rsidRPr="00E27AD5" w:rsidRDefault="00250617" w:rsidP="00250617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1.</w:t>
            </w:r>
            <w:r w:rsidRPr="00E27AD5">
              <w:rPr>
                <w:caps/>
                <w:lang w:val="uk-UA"/>
              </w:rPr>
              <w:t>7.</w:t>
            </w:r>
          </w:p>
        </w:tc>
        <w:tc>
          <w:tcPr>
            <w:tcW w:w="3737" w:type="dxa"/>
            <w:shd w:val="clear" w:color="auto" w:fill="auto"/>
          </w:tcPr>
          <w:p w:rsidR="00250617" w:rsidRPr="00E27AD5" w:rsidRDefault="00250617" w:rsidP="00250617">
            <w:pPr>
              <w:rPr>
                <w:lang w:val="uk-UA"/>
              </w:rPr>
            </w:pPr>
            <w:r w:rsidRPr="00E27AD5">
              <w:rPr>
                <w:lang w:val="uk-UA"/>
              </w:rPr>
              <w:t>Місце проведення конкурсу</w:t>
            </w:r>
          </w:p>
        </w:tc>
        <w:tc>
          <w:tcPr>
            <w:tcW w:w="5088" w:type="dxa"/>
            <w:shd w:val="clear" w:color="auto" w:fill="auto"/>
          </w:tcPr>
          <w:p w:rsidR="00250617" w:rsidRPr="00E27AD5" w:rsidRDefault="00250617" w:rsidP="00250617">
            <w:pPr>
              <w:jc w:val="both"/>
              <w:rPr>
                <w:lang w:val="uk-UA"/>
              </w:rPr>
            </w:pPr>
            <w:r w:rsidRPr="00E27AD5">
              <w:rPr>
                <w:lang w:val="uk-UA"/>
              </w:rPr>
              <w:t>м. Київ, вул. Дениса Монастирського, 3</w:t>
            </w:r>
          </w:p>
        </w:tc>
      </w:tr>
    </w:tbl>
    <w:p w:rsidR="00DB7C2C" w:rsidRDefault="00DB7C2C" w:rsidP="00DB7C2C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B7C2C" w:rsidRDefault="00DB7C2C" w:rsidP="00DB7C2C">
      <w:pPr>
        <w:jc w:val="center"/>
        <w:rPr>
          <w:lang w:val="uk-UA"/>
        </w:rPr>
      </w:pPr>
    </w:p>
    <w:p w:rsidR="004812A6" w:rsidRPr="00E27AD5" w:rsidRDefault="004812A6">
      <w:pPr>
        <w:rPr>
          <w:lang w:val="uk-UA"/>
        </w:rPr>
      </w:pPr>
    </w:p>
    <w:sectPr w:rsidR="004812A6" w:rsidRPr="00E27AD5" w:rsidSect="001A691F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62" w:rsidRDefault="004C1062" w:rsidP="00DC2448">
      <w:r>
        <w:separator/>
      </w:r>
    </w:p>
  </w:endnote>
  <w:endnote w:type="continuationSeparator" w:id="0">
    <w:p w:rsidR="004C1062" w:rsidRDefault="004C1062" w:rsidP="00DC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62" w:rsidRDefault="004C1062" w:rsidP="00DC2448">
      <w:r>
        <w:separator/>
      </w:r>
    </w:p>
  </w:footnote>
  <w:footnote w:type="continuationSeparator" w:id="0">
    <w:p w:rsidR="004C1062" w:rsidRDefault="004C1062" w:rsidP="00DC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0073943"/>
      <w:docPartObj>
        <w:docPartGallery w:val="Page Numbers (Top of Page)"/>
        <w:docPartUnique/>
      </w:docPartObj>
    </w:sdtPr>
    <w:sdtEndPr/>
    <w:sdtContent>
      <w:p w:rsidR="001A691F" w:rsidRDefault="001A69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111" w:rsidRPr="00792111">
          <w:rPr>
            <w:noProof/>
            <w:lang w:val="uk-UA"/>
          </w:rPr>
          <w:t>7</w:t>
        </w:r>
        <w:r>
          <w:fldChar w:fldCharType="end"/>
        </w:r>
      </w:p>
    </w:sdtContent>
  </w:sdt>
  <w:p w:rsidR="001A691F" w:rsidRDefault="001A691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155E6"/>
    <w:multiLevelType w:val="multilevel"/>
    <w:tmpl w:val="9032685C"/>
    <w:lvl w:ilvl="0">
      <w:numFmt w:val="bullet"/>
      <w:lvlText w:val="-"/>
      <w:lvlJc w:val="left"/>
      <w:pPr>
        <w:ind w:left="-3261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-18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11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</w:abstractNum>
  <w:abstractNum w:abstractNumId="1" w15:restartNumberingAfterBreak="0">
    <w:nsid w:val="166608C1"/>
    <w:multiLevelType w:val="multilevel"/>
    <w:tmpl w:val="39B0A1C0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6687B"/>
    <w:multiLevelType w:val="hybridMultilevel"/>
    <w:tmpl w:val="7A0CA070"/>
    <w:lvl w:ilvl="0" w:tplc="0422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B272F"/>
    <w:multiLevelType w:val="hybridMultilevel"/>
    <w:tmpl w:val="F72855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E7344"/>
    <w:multiLevelType w:val="hybridMultilevel"/>
    <w:tmpl w:val="733EAF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C06C6"/>
    <w:multiLevelType w:val="hybridMultilevel"/>
    <w:tmpl w:val="D77C45B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1253" w:hanging="360"/>
      </w:pPr>
    </w:lvl>
    <w:lvl w:ilvl="2" w:tplc="0422001B" w:tentative="1">
      <w:start w:val="1"/>
      <w:numFmt w:val="lowerRoman"/>
      <w:lvlText w:val="%3."/>
      <w:lvlJc w:val="right"/>
      <w:pPr>
        <w:ind w:left="-533" w:hanging="180"/>
      </w:pPr>
    </w:lvl>
    <w:lvl w:ilvl="3" w:tplc="0422000F" w:tentative="1">
      <w:start w:val="1"/>
      <w:numFmt w:val="decimal"/>
      <w:lvlText w:val="%4."/>
      <w:lvlJc w:val="left"/>
      <w:pPr>
        <w:ind w:left="187" w:hanging="360"/>
      </w:pPr>
    </w:lvl>
    <w:lvl w:ilvl="4" w:tplc="04220019" w:tentative="1">
      <w:start w:val="1"/>
      <w:numFmt w:val="lowerLetter"/>
      <w:lvlText w:val="%5."/>
      <w:lvlJc w:val="left"/>
      <w:pPr>
        <w:ind w:left="907" w:hanging="360"/>
      </w:pPr>
    </w:lvl>
    <w:lvl w:ilvl="5" w:tplc="0422001B" w:tentative="1">
      <w:start w:val="1"/>
      <w:numFmt w:val="lowerRoman"/>
      <w:lvlText w:val="%6."/>
      <w:lvlJc w:val="right"/>
      <w:pPr>
        <w:ind w:left="1627" w:hanging="180"/>
      </w:pPr>
    </w:lvl>
    <w:lvl w:ilvl="6" w:tplc="0422000F" w:tentative="1">
      <w:start w:val="1"/>
      <w:numFmt w:val="decimal"/>
      <w:lvlText w:val="%7."/>
      <w:lvlJc w:val="left"/>
      <w:pPr>
        <w:ind w:left="2347" w:hanging="360"/>
      </w:pPr>
    </w:lvl>
    <w:lvl w:ilvl="7" w:tplc="04220019" w:tentative="1">
      <w:start w:val="1"/>
      <w:numFmt w:val="lowerLetter"/>
      <w:lvlText w:val="%8."/>
      <w:lvlJc w:val="left"/>
      <w:pPr>
        <w:ind w:left="3067" w:hanging="360"/>
      </w:pPr>
    </w:lvl>
    <w:lvl w:ilvl="8" w:tplc="0422001B" w:tentative="1">
      <w:start w:val="1"/>
      <w:numFmt w:val="lowerRoman"/>
      <w:lvlText w:val="%9."/>
      <w:lvlJc w:val="right"/>
      <w:pPr>
        <w:ind w:left="378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BC"/>
    <w:rsid w:val="00046D58"/>
    <w:rsid w:val="00094BDC"/>
    <w:rsid w:val="000A2D60"/>
    <w:rsid w:val="000A4CD8"/>
    <w:rsid w:val="00122EE1"/>
    <w:rsid w:val="0016799A"/>
    <w:rsid w:val="001A2371"/>
    <w:rsid w:val="001A691F"/>
    <w:rsid w:val="001B1059"/>
    <w:rsid w:val="001C2C4A"/>
    <w:rsid w:val="001D63B6"/>
    <w:rsid w:val="00250617"/>
    <w:rsid w:val="002657BC"/>
    <w:rsid w:val="002B2263"/>
    <w:rsid w:val="002F5D7B"/>
    <w:rsid w:val="003063C3"/>
    <w:rsid w:val="003A15D4"/>
    <w:rsid w:val="003B3E59"/>
    <w:rsid w:val="003C5788"/>
    <w:rsid w:val="003E5782"/>
    <w:rsid w:val="00410194"/>
    <w:rsid w:val="00443251"/>
    <w:rsid w:val="00455A46"/>
    <w:rsid w:val="004812A6"/>
    <w:rsid w:val="004C1062"/>
    <w:rsid w:val="004E5588"/>
    <w:rsid w:val="005057BD"/>
    <w:rsid w:val="005B7F9F"/>
    <w:rsid w:val="00601F98"/>
    <w:rsid w:val="00602AD2"/>
    <w:rsid w:val="00605937"/>
    <w:rsid w:val="006360C9"/>
    <w:rsid w:val="006A4371"/>
    <w:rsid w:val="0075315A"/>
    <w:rsid w:val="00792111"/>
    <w:rsid w:val="007A786F"/>
    <w:rsid w:val="007E7A13"/>
    <w:rsid w:val="008C6DEA"/>
    <w:rsid w:val="008C783F"/>
    <w:rsid w:val="0094095C"/>
    <w:rsid w:val="009A5563"/>
    <w:rsid w:val="009F4F56"/>
    <w:rsid w:val="00A03036"/>
    <w:rsid w:val="00B41417"/>
    <w:rsid w:val="00BA0AD3"/>
    <w:rsid w:val="00BA5CF2"/>
    <w:rsid w:val="00BC370D"/>
    <w:rsid w:val="00C16FE8"/>
    <w:rsid w:val="00C56AAB"/>
    <w:rsid w:val="00C727F8"/>
    <w:rsid w:val="00CA31F8"/>
    <w:rsid w:val="00CD3725"/>
    <w:rsid w:val="00D16B1B"/>
    <w:rsid w:val="00D90453"/>
    <w:rsid w:val="00D91D23"/>
    <w:rsid w:val="00DB7C2C"/>
    <w:rsid w:val="00DC2448"/>
    <w:rsid w:val="00DC5012"/>
    <w:rsid w:val="00E27AD5"/>
    <w:rsid w:val="00E71EDD"/>
    <w:rsid w:val="00EC042B"/>
    <w:rsid w:val="00F5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0A0F"/>
  <w15:chartTrackingRefBased/>
  <w15:docId w15:val="{FE14AD3B-AA71-4A1C-A40F-1B01A699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ередня сітка 21"/>
    <w:uiPriority w:val="1"/>
    <w:qFormat/>
    <w:rsid w:val="002657B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2657BC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2657BC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Абзац списка1"/>
    <w:basedOn w:val="a"/>
    <w:rsid w:val="002657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4">
    <w:name w:val="Hyperlink"/>
    <w:uiPriority w:val="99"/>
    <w:unhideWhenUsed/>
    <w:rsid w:val="002657B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657BC"/>
    <w:pPr>
      <w:ind w:left="720"/>
      <w:contextualSpacing/>
    </w:pPr>
  </w:style>
  <w:style w:type="paragraph" w:customStyle="1" w:styleId="rvps2">
    <w:name w:val="rvps2"/>
    <w:basedOn w:val="a"/>
    <w:uiPriority w:val="99"/>
    <w:rsid w:val="002657BC"/>
    <w:pPr>
      <w:spacing w:before="100" w:beforeAutospacing="1" w:after="100" w:afterAutospacing="1"/>
    </w:pPr>
    <w:rPr>
      <w:lang w:val="uk-UA" w:eastAsia="uk-UA"/>
    </w:rPr>
  </w:style>
  <w:style w:type="character" w:styleId="a6">
    <w:name w:val="FollowedHyperlink"/>
    <w:basedOn w:val="a0"/>
    <w:uiPriority w:val="99"/>
    <w:semiHidden/>
    <w:unhideWhenUsed/>
    <w:rsid w:val="00601F9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DC2448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C24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C2448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C24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Emphasis"/>
    <w:basedOn w:val="a0"/>
    <w:uiPriority w:val="20"/>
    <w:qFormat/>
    <w:rsid w:val="00CA3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mission2@nabu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7226</Words>
  <Characters>4119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Пожар Вадим Володимирович</dc:creator>
  <cp:keywords/>
  <dc:description/>
  <cp:lastModifiedBy>Цукарєва Ганна Вадимівна</cp:lastModifiedBy>
  <cp:revision>18</cp:revision>
  <dcterms:created xsi:type="dcterms:W3CDTF">2026-02-09T11:12:00Z</dcterms:created>
  <dcterms:modified xsi:type="dcterms:W3CDTF">2026-02-20T11:55:00Z</dcterms:modified>
</cp:coreProperties>
</file>