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44" w:rsidRPr="00CB62BC" w:rsidRDefault="00427844" w:rsidP="00427844">
      <w:pPr>
        <w:jc w:val="center"/>
        <w:rPr>
          <w:b/>
          <w:sz w:val="28"/>
          <w:szCs w:val="28"/>
          <w:lang w:val="uk-UA"/>
        </w:rPr>
      </w:pPr>
    </w:p>
    <w:p w:rsidR="00427844" w:rsidRDefault="00503B7F" w:rsidP="004278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ПРОФІЛЬ ПОСАДИ</w:t>
      </w:r>
    </w:p>
    <w:p w:rsidR="00503B7F" w:rsidRPr="00503B7F" w:rsidRDefault="00503B7F" w:rsidP="00427844">
      <w:pPr>
        <w:jc w:val="center"/>
        <w:rPr>
          <w:b/>
          <w:sz w:val="16"/>
          <w:szCs w:val="28"/>
          <w:lang w:val="uk-UA"/>
        </w:rPr>
      </w:pPr>
    </w:p>
    <w:p w:rsidR="00503B7F" w:rsidRDefault="00427844" w:rsidP="00503B7F">
      <w:pPr>
        <w:jc w:val="center"/>
        <w:rPr>
          <w:b/>
          <w:sz w:val="28"/>
          <w:szCs w:val="28"/>
          <w:lang w:val="uk-UA"/>
        </w:rPr>
      </w:pPr>
      <w:r w:rsidRPr="00CB62BC">
        <w:rPr>
          <w:b/>
          <w:sz w:val="28"/>
          <w:szCs w:val="28"/>
          <w:lang w:val="uk-UA"/>
        </w:rPr>
        <w:t>«Детектив Національного бюро</w:t>
      </w:r>
      <w:r w:rsidR="00FD265F">
        <w:rPr>
          <w:b/>
          <w:sz w:val="28"/>
          <w:szCs w:val="28"/>
          <w:lang w:val="uk-UA"/>
        </w:rPr>
        <w:t xml:space="preserve"> </w:t>
      </w:r>
      <w:r w:rsidR="00DD16F4">
        <w:rPr>
          <w:b/>
          <w:sz w:val="28"/>
          <w:szCs w:val="28"/>
          <w:lang w:val="uk-UA"/>
        </w:rPr>
        <w:t>відділу детективів</w:t>
      </w:r>
    </w:p>
    <w:p w:rsidR="00427844" w:rsidRPr="00CB62BC" w:rsidRDefault="00427844" w:rsidP="00503B7F">
      <w:pPr>
        <w:jc w:val="center"/>
        <w:rPr>
          <w:b/>
          <w:sz w:val="28"/>
          <w:szCs w:val="28"/>
          <w:lang w:val="uk-UA"/>
        </w:rPr>
      </w:pPr>
      <w:r w:rsidRPr="00CB62BC">
        <w:rPr>
          <w:b/>
          <w:sz w:val="28"/>
          <w:szCs w:val="28"/>
          <w:lang w:val="uk-UA"/>
        </w:rPr>
        <w:t>Управління кримінального аналізу та фінансових розслідувань»</w:t>
      </w:r>
    </w:p>
    <w:p w:rsidR="00427844" w:rsidRPr="00CB62BC" w:rsidRDefault="00427844" w:rsidP="00DD6054">
      <w:pPr>
        <w:jc w:val="center"/>
        <w:rPr>
          <w:b/>
          <w:sz w:val="28"/>
          <w:szCs w:val="28"/>
          <w:lang w:val="uk-UA"/>
        </w:rPr>
      </w:pPr>
      <w:r w:rsidRPr="00CB62BC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427844" w:rsidRPr="00CB62BC" w:rsidRDefault="00427844" w:rsidP="00427844">
      <w:pPr>
        <w:jc w:val="center"/>
        <w:rPr>
          <w:bCs/>
          <w:lang w:val="uk-UA"/>
        </w:rPr>
      </w:pPr>
    </w:p>
    <w:tbl>
      <w:tblPr>
        <w:tblW w:w="5025" w:type="pct"/>
        <w:tblLook w:val="00A0" w:firstRow="1" w:lastRow="0" w:firstColumn="1" w:lastColumn="0" w:noHBand="0" w:noVBand="0"/>
      </w:tblPr>
      <w:tblGrid>
        <w:gridCol w:w="4536"/>
        <w:gridCol w:w="5145"/>
        <w:gridCol w:w="291"/>
      </w:tblGrid>
      <w:tr w:rsidR="00427844" w:rsidRPr="00CB62BC" w:rsidTr="007C1627">
        <w:tc>
          <w:tcPr>
            <w:tcW w:w="4536" w:type="dxa"/>
          </w:tcPr>
          <w:p w:rsidR="00427844" w:rsidRPr="00CB62BC" w:rsidRDefault="00427844" w:rsidP="007C16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436" w:type="dxa"/>
            <w:gridSpan w:val="2"/>
          </w:tcPr>
          <w:p w:rsidR="00427844" w:rsidRDefault="00427844" w:rsidP="00604CF7">
            <w:pPr>
              <w:rPr>
                <w:lang w:val="uk-UA"/>
              </w:rPr>
            </w:pPr>
            <w:r w:rsidRPr="00CB62BC">
              <w:rPr>
                <w:lang w:val="uk-UA"/>
              </w:rPr>
              <w:t>ЗАТВЕРДЖУЮ</w:t>
            </w:r>
          </w:p>
          <w:p w:rsidR="00604CF7" w:rsidRPr="00604CF7" w:rsidRDefault="00604CF7" w:rsidP="00604CF7">
            <w:pPr>
              <w:rPr>
                <w:sz w:val="18"/>
                <w:lang w:val="uk-UA"/>
              </w:rPr>
            </w:pPr>
          </w:p>
        </w:tc>
      </w:tr>
      <w:tr w:rsidR="00427844" w:rsidRPr="00CB62BC" w:rsidTr="007C1627">
        <w:tc>
          <w:tcPr>
            <w:tcW w:w="4536" w:type="dxa"/>
          </w:tcPr>
          <w:p w:rsidR="00427844" w:rsidRPr="00CB62BC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436" w:type="dxa"/>
            <w:gridSpan w:val="2"/>
            <w:tcBorders>
              <w:bottom w:val="single" w:sz="4" w:space="0" w:color="auto"/>
            </w:tcBorders>
          </w:tcPr>
          <w:p w:rsidR="00427844" w:rsidRPr="00CB62BC" w:rsidRDefault="00604CF7" w:rsidP="00604CF7">
            <w:pPr>
              <w:pStyle w:val="21"/>
              <w:widowControl w:val="0"/>
              <w:rPr>
                <w:rFonts w:ascii="Times New Roman" w:hAnsi="Times New Roman"/>
                <w:b/>
                <w:lang w:val="uk-UA"/>
              </w:rPr>
            </w:pPr>
            <w:r w:rsidRPr="00604CF7">
              <w:rPr>
                <w:rFonts w:ascii="Times New Roman" w:hAnsi="Times New Roman"/>
                <w:b/>
                <w:lang w:val="uk-UA"/>
              </w:rPr>
              <w:t>Директор</w:t>
            </w:r>
            <w:r>
              <w:rPr>
                <w:rFonts w:ascii="Times New Roman" w:hAnsi="Times New Roman"/>
                <w:lang w:val="uk-UA"/>
              </w:rPr>
              <w:t xml:space="preserve">        </w:t>
            </w:r>
            <w:r w:rsidR="00427844" w:rsidRPr="00604CF7">
              <w:rPr>
                <w:rFonts w:ascii="Times New Roman" w:hAnsi="Times New Roman"/>
                <w:b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b/>
                <w:lang w:val="uk-UA"/>
              </w:rPr>
              <w:t xml:space="preserve">  </w:t>
            </w:r>
            <w:r w:rsidR="00427844" w:rsidRPr="00CB62BC">
              <w:rPr>
                <w:rFonts w:ascii="Times New Roman" w:hAnsi="Times New Roman"/>
                <w:b/>
                <w:lang w:val="uk-UA"/>
              </w:rPr>
              <w:t>Семен КРИВОНОС</w:t>
            </w:r>
          </w:p>
        </w:tc>
      </w:tr>
      <w:tr w:rsidR="00427844" w:rsidRPr="00CB62BC" w:rsidTr="007C1627">
        <w:tc>
          <w:tcPr>
            <w:tcW w:w="4536" w:type="dxa"/>
          </w:tcPr>
          <w:p w:rsidR="00427844" w:rsidRPr="00CB62BC" w:rsidRDefault="00427844" w:rsidP="007C1627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auto"/>
            </w:tcBorders>
          </w:tcPr>
          <w:p w:rsidR="00427844" w:rsidRPr="00CB62BC" w:rsidRDefault="00427844" w:rsidP="007C1627">
            <w:pPr>
              <w:rPr>
                <w:sz w:val="18"/>
                <w:szCs w:val="28"/>
                <w:lang w:val="uk-UA"/>
              </w:rPr>
            </w:pPr>
            <w:r w:rsidRPr="00CB62BC">
              <w:rPr>
                <w:sz w:val="18"/>
                <w:szCs w:val="28"/>
                <w:lang w:val="uk-UA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:rsidR="00427844" w:rsidRPr="00CB62BC" w:rsidRDefault="00427844" w:rsidP="007C1627">
            <w:pPr>
              <w:rPr>
                <w:sz w:val="18"/>
                <w:szCs w:val="28"/>
                <w:lang w:val="uk-UA"/>
              </w:rPr>
            </w:pPr>
          </w:p>
        </w:tc>
      </w:tr>
      <w:tr w:rsidR="00427844" w:rsidRPr="00CB62BC" w:rsidTr="00AC5159">
        <w:trPr>
          <w:gridAfter w:val="1"/>
          <w:wAfter w:w="291" w:type="dxa"/>
          <w:trHeight w:val="428"/>
        </w:trPr>
        <w:tc>
          <w:tcPr>
            <w:tcW w:w="4536" w:type="dxa"/>
          </w:tcPr>
          <w:p w:rsidR="00427844" w:rsidRPr="00CB62BC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145" w:type="dxa"/>
          </w:tcPr>
          <w:p w:rsidR="00427844" w:rsidRPr="00CB62BC" w:rsidRDefault="00427844" w:rsidP="00395F09">
            <w:pPr>
              <w:rPr>
                <w:lang w:val="uk-UA"/>
              </w:rPr>
            </w:pPr>
            <w:r w:rsidRPr="00CB62BC">
              <w:rPr>
                <w:lang w:val="uk-UA"/>
              </w:rPr>
              <w:t>«</w:t>
            </w:r>
            <w:r w:rsidR="00395F09">
              <w:rPr>
                <w:lang w:val="uk-UA"/>
              </w:rPr>
              <w:t>10</w:t>
            </w:r>
            <w:bookmarkStart w:id="0" w:name="_GoBack"/>
            <w:bookmarkEnd w:id="0"/>
            <w:r w:rsidRPr="00CB62BC">
              <w:rPr>
                <w:lang w:val="uk-UA"/>
              </w:rPr>
              <w:t>»</w:t>
            </w:r>
            <w:r w:rsidRPr="00CB62BC">
              <w:rPr>
                <w:lang w:val="en-US"/>
              </w:rPr>
              <w:t xml:space="preserve"> </w:t>
            </w:r>
            <w:r w:rsidR="00DA43F5">
              <w:rPr>
                <w:lang w:val="uk-UA"/>
              </w:rPr>
              <w:t>лют</w:t>
            </w:r>
            <w:r w:rsidR="00C50C11">
              <w:rPr>
                <w:lang w:val="uk-UA"/>
              </w:rPr>
              <w:t>ого</w:t>
            </w:r>
            <w:r w:rsidRPr="00CB62BC">
              <w:rPr>
                <w:lang w:val="uk-UA"/>
              </w:rPr>
              <w:t xml:space="preserve"> 202</w:t>
            </w:r>
            <w:r w:rsidR="00DD6054" w:rsidRPr="00CB62BC">
              <w:rPr>
                <w:lang w:val="en-US"/>
              </w:rPr>
              <w:t>6</w:t>
            </w:r>
            <w:r w:rsidRPr="00CB62BC">
              <w:rPr>
                <w:lang w:val="uk-UA"/>
              </w:rPr>
              <w:t xml:space="preserve"> р</w:t>
            </w:r>
            <w:r w:rsidR="00604CF7">
              <w:rPr>
                <w:lang w:val="uk-UA"/>
              </w:rPr>
              <w:t>.</w:t>
            </w:r>
          </w:p>
        </w:tc>
      </w:tr>
    </w:tbl>
    <w:p w:rsidR="00427844" w:rsidRPr="00CB62BC" w:rsidRDefault="00427844" w:rsidP="00427844">
      <w:pPr>
        <w:jc w:val="center"/>
        <w:rPr>
          <w:bCs/>
          <w:lang w:val="uk-UA"/>
        </w:rPr>
      </w:pP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939"/>
        <w:gridCol w:w="5767"/>
      </w:tblGrid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A24649">
            <w:pPr>
              <w:jc w:val="center"/>
              <w:rPr>
                <w:b/>
                <w:bCs/>
                <w:lang w:val="uk-UA"/>
              </w:rPr>
            </w:pPr>
            <w:r w:rsidRPr="00CB62BC">
              <w:rPr>
                <w:b/>
                <w:bCs/>
                <w:lang w:val="uk-UA"/>
              </w:rPr>
              <w:t>І</w:t>
            </w:r>
          </w:p>
        </w:tc>
        <w:tc>
          <w:tcPr>
            <w:tcW w:w="9706" w:type="dxa"/>
            <w:gridSpan w:val="2"/>
          </w:tcPr>
          <w:p w:rsidR="00427844" w:rsidRPr="00CB62BC" w:rsidRDefault="00427844" w:rsidP="00A24649">
            <w:pPr>
              <w:jc w:val="center"/>
              <w:rPr>
                <w:b/>
                <w:bCs/>
                <w:lang w:val="uk-UA"/>
              </w:rPr>
            </w:pPr>
            <w:r w:rsidRPr="00CB62BC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C50C11" w:rsidP="00A24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767" w:type="dxa"/>
          </w:tcPr>
          <w:p w:rsidR="00427844" w:rsidRPr="00CB62BC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Національне антикорупційне бюро України</w:t>
            </w:r>
          </w:p>
          <w:p w:rsidR="00427844" w:rsidRPr="00CB62BC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(далі – Національне бюро)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C50C11" w:rsidP="00A24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767" w:type="dxa"/>
          </w:tcPr>
          <w:p w:rsidR="00427844" w:rsidRPr="00CB62BC" w:rsidRDefault="00427844" w:rsidP="00A24649">
            <w:pPr>
              <w:tabs>
                <w:tab w:val="left" w:pos="342"/>
              </w:tabs>
              <w:rPr>
                <w:lang w:val="uk-UA"/>
              </w:rPr>
            </w:pPr>
            <w:r w:rsidRPr="00CB62BC">
              <w:rPr>
                <w:bCs/>
                <w:lang w:val="uk-UA"/>
              </w:rPr>
              <w:t>Управління кримінального аналізу та фінансових розслідувань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C50C11" w:rsidP="00A24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Найменування посади</w:t>
            </w:r>
          </w:p>
        </w:tc>
        <w:tc>
          <w:tcPr>
            <w:tcW w:w="5767" w:type="dxa"/>
          </w:tcPr>
          <w:p w:rsidR="00427844" w:rsidRPr="00CB62BC" w:rsidRDefault="00427844" w:rsidP="00AB038A">
            <w:pPr>
              <w:tabs>
                <w:tab w:val="left" w:pos="327"/>
              </w:tabs>
              <w:jc w:val="both"/>
              <w:rPr>
                <w:bCs/>
                <w:lang w:val="uk-UA"/>
              </w:rPr>
            </w:pPr>
            <w:r w:rsidRPr="00CB62BC">
              <w:rPr>
                <w:bCs/>
                <w:lang w:val="uk-UA"/>
              </w:rPr>
              <w:t xml:space="preserve">Детектив </w:t>
            </w:r>
            <w:r w:rsidR="009E4DDB">
              <w:rPr>
                <w:lang w:val="uk-UA"/>
              </w:rPr>
              <w:t>Національного</w:t>
            </w:r>
            <w:r w:rsidR="009E4DDB" w:rsidRPr="00CB62BC">
              <w:rPr>
                <w:lang w:val="uk-UA"/>
              </w:rPr>
              <w:t xml:space="preserve"> бюро</w:t>
            </w:r>
            <w:r w:rsidR="009E4DDB">
              <w:rPr>
                <w:bCs/>
                <w:lang w:val="uk-UA"/>
              </w:rPr>
              <w:t xml:space="preserve"> </w:t>
            </w:r>
            <w:r w:rsidR="00DD16F4">
              <w:rPr>
                <w:bCs/>
                <w:lang w:val="uk-UA"/>
              </w:rPr>
              <w:t>відділу детективів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C50C11" w:rsidP="00A24649">
            <w:pPr>
              <w:jc w:val="center"/>
              <w:rPr>
                <w:caps/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Категорія посади </w:t>
            </w:r>
          </w:p>
        </w:tc>
        <w:tc>
          <w:tcPr>
            <w:tcW w:w="5767" w:type="dxa"/>
          </w:tcPr>
          <w:p w:rsidR="00427844" w:rsidRPr="00CB62BC" w:rsidRDefault="00CB62BC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C50C11" w:rsidP="00A24649">
            <w:pPr>
              <w:jc w:val="center"/>
              <w:rPr>
                <w:caps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>Мета посади</w:t>
            </w:r>
          </w:p>
        </w:tc>
        <w:tc>
          <w:tcPr>
            <w:tcW w:w="5767" w:type="dxa"/>
          </w:tcPr>
          <w:p w:rsidR="00427844" w:rsidRPr="00CB62BC" w:rsidRDefault="00427844" w:rsidP="00DD16F4">
            <w:pPr>
              <w:pStyle w:val="consplusnormal"/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jc w:val="both"/>
            </w:pPr>
            <w:r w:rsidRPr="00CB62BC">
              <w:t xml:space="preserve">Забезпечення виконання покладених на </w:t>
            </w:r>
            <w:r w:rsidR="00DD16F4">
              <w:rPr>
                <w:bCs/>
              </w:rPr>
              <w:t>відділ детективів</w:t>
            </w:r>
            <w:r w:rsidR="00DD16F4" w:rsidRPr="00CB62BC">
              <w:t xml:space="preserve"> </w:t>
            </w:r>
            <w:r w:rsidRPr="00CB62BC">
              <w:t xml:space="preserve">завдань, визначених </w:t>
            </w:r>
            <w:r w:rsidRPr="00CB62BC">
              <w:rPr>
                <w:bCs/>
              </w:rPr>
              <w:t xml:space="preserve">Положенням про </w:t>
            </w:r>
            <w:r w:rsidRPr="00CB62BC">
              <w:t>Управління кримінального аналізу та фінансових розслідувань</w:t>
            </w:r>
            <w:r w:rsidRPr="00CB62BC">
              <w:rPr>
                <w:bCs/>
              </w:rPr>
              <w:t xml:space="preserve"> Національного бюро</w:t>
            </w:r>
            <w:r w:rsidR="00DD16F4">
              <w:rPr>
                <w:bCs/>
              </w:rPr>
              <w:t>.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C50C11" w:rsidP="00A246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767" w:type="dxa"/>
          </w:tcPr>
          <w:p w:rsidR="004D4A60" w:rsidRDefault="004D4A60" w:rsidP="004D4A60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A60">
              <w:rPr>
                <w:rFonts w:ascii="Times New Roman" w:hAnsi="Times New Roman"/>
                <w:sz w:val="24"/>
                <w:szCs w:val="24"/>
              </w:rPr>
              <w:t xml:space="preserve">здійснення інформаційно-аналітичного </w:t>
            </w:r>
            <w:r>
              <w:rPr>
                <w:rFonts w:ascii="Times New Roman" w:hAnsi="Times New Roman"/>
                <w:sz w:val="24"/>
                <w:szCs w:val="24"/>
              </w:rPr>
              <w:t>супроводу</w:t>
            </w:r>
            <w:r w:rsidRPr="004D4A60">
              <w:rPr>
                <w:rFonts w:ascii="Times New Roman" w:hAnsi="Times New Roman"/>
                <w:sz w:val="24"/>
                <w:szCs w:val="24"/>
              </w:rPr>
              <w:t xml:space="preserve"> досудового розслідування у кримінальних провадженнях, підслідних Національному бюро</w:t>
            </w:r>
            <w:r w:rsidR="00FE1F98" w:rsidRPr="00CB62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4A60" w:rsidRDefault="004D4A60" w:rsidP="004D4A60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A60">
              <w:rPr>
                <w:rFonts w:ascii="Times New Roman" w:hAnsi="Times New Roman"/>
                <w:sz w:val="24"/>
                <w:szCs w:val="24"/>
              </w:rPr>
              <w:t xml:space="preserve">здійснення інформаційно-аналітичного супроводу та </w:t>
            </w:r>
            <w:proofErr w:type="spellStart"/>
            <w:r w:rsidRPr="004D4A60">
              <w:rPr>
                <w:rFonts w:ascii="Times New Roman" w:hAnsi="Times New Roman"/>
                <w:sz w:val="24"/>
                <w:szCs w:val="24"/>
              </w:rPr>
              <w:t>оперативно</w:t>
            </w:r>
            <w:proofErr w:type="spellEnd"/>
            <w:r w:rsidRPr="004D4A60">
              <w:rPr>
                <w:rFonts w:ascii="Times New Roman" w:hAnsi="Times New Roman"/>
                <w:sz w:val="24"/>
                <w:szCs w:val="24"/>
              </w:rPr>
              <w:t>-аналітичного забезпечення оперативно-розшукової діяльності;</w:t>
            </w:r>
          </w:p>
          <w:p w:rsidR="00E44EED" w:rsidRPr="00E44EED" w:rsidRDefault="00E44EED" w:rsidP="00E44EED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здійснення інформаційно-аналітичного супроводу фінансових розслідувань у кримінальних провадженнях щодо корупційних правопорушень, пов’язаних з одержанням активів;</w:t>
            </w:r>
          </w:p>
          <w:p w:rsidR="003D5050" w:rsidRPr="00CB62BC" w:rsidRDefault="003D5050" w:rsidP="004D4A60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здійснення пошуку, збору, узагальнення, обробки та аналізу інформації з відкритих джерел, автоматизованих інформаційних і довідкових систем, реєстрів та банків даних державних органів та органів місцевого самоврядування;</w:t>
            </w:r>
          </w:p>
          <w:p w:rsidR="003D5050" w:rsidRPr="00CB62BC" w:rsidRDefault="003D5050" w:rsidP="00CB62BC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здійснення аналітичної обробки інформації з метою виявлення ознак корупційних та інших кримінальних правопорушень, ідентифікації осіб, причетних до їх вчинення, а також встановлення, аналізу та відображення зв’язків між особами, подіями і об’єктами</w:t>
            </w:r>
            <w:r w:rsidR="002611F7" w:rsidRPr="00CB62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127E" w:rsidRPr="00CB62BC" w:rsidRDefault="0051127E" w:rsidP="00CB62BC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 xml:space="preserve">здійснення </w:t>
            </w:r>
            <w:r w:rsidR="003D5050" w:rsidRPr="00CB62BC">
              <w:rPr>
                <w:rFonts w:ascii="Times New Roman" w:hAnsi="Times New Roman"/>
                <w:sz w:val="24"/>
                <w:szCs w:val="24"/>
              </w:rPr>
              <w:t>виявлення, розшук, відстеження та аналіз активів, одержаних злочинним шляхом, з метою подальшого накладення арешту, конфіскації або спеціальної конфіскації;</w:t>
            </w:r>
          </w:p>
          <w:p w:rsidR="00427844" w:rsidRPr="00CB62BC" w:rsidRDefault="0051127E" w:rsidP="00CB62BC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здійснення аналітичного</w:t>
            </w:r>
            <w:r w:rsidR="003D5050" w:rsidRPr="00CB62BC">
              <w:rPr>
                <w:rFonts w:ascii="Times New Roman" w:hAnsi="Times New Roman"/>
                <w:sz w:val="24"/>
                <w:szCs w:val="24"/>
              </w:rPr>
              <w:t xml:space="preserve"> виявлення ознак необґрунтованих активів, їх аналіз та </w:t>
            </w:r>
            <w:r w:rsidR="003D5050" w:rsidRPr="00CB62BC">
              <w:rPr>
                <w:rFonts w:ascii="Times New Roman" w:hAnsi="Times New Roman"/>
                <w:sz w:val="24"/>
                <w:szCs w:val="24"/>
              </w:rPr>
              <w:lastRenderedPageBreak/>
              <w:t>документування інформації щодо їх необґрунтованості</w:t>
            </w:r>
            <w:r w:rsidR="00427844" w:rsidRPr="00CB62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CB62BC" w:rsidRDefault="00427844" w:rsidP="00CB62BC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1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виконання інших службових доручень</w:t>
            </w:r>
            <w:r w:rsidR="00F04BD2">
              <w:rPr>
                <w:rFonts w:ascii="Times New Roman" w:hAnsi="Times New Roman"/>
                <w:sz w:val="24"/>
                <w:szCs w:val="24"/>
              </w:rPr>
              <w:t xml:space="preserve"> та завдань</w:t>
            </w:r>
            <w:r w:rsidR="00EE09F8" w:rsidRPr="00CB62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b/>
                <w:lang w:val="uk-UA"/>
              </w:rPr>
            </w:pPr>
            <w:r w:rsidRPr="00CB62BC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706" w:type="dxa"/>
            <w:gridSpan w:val="2"/>
          </w:tcPr>
          <w:p w:rsidR="00427844" w:rsidRPr="00CB62BC" w:rsidRDefault="00427844" w:rsidP="00A24649">
            <w:pPr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 w:rsidRPr="00CB62BC">
              <w:rPr>
                <w:b/>
                <w:lang w:val="uk-UA"/>
              </w:rPr>
              <w:t>КВАЛІФІКАЦІЙНІ ВИМОГИ</w:t>
            </w:r>
          </w:p>
        </w:tc>
      </w:tr>
      <w:tr w:rsidR="00427844" w:rsidRPr="00CB62BC" w:rsidTr="009E211B">
        <w:trPr>
          <w:trHeight w:val="20"/>
        </w:trPr>
        <w:tc>
          <w:tcPr>
            <w:tcW w:w="10342" w:type="dxa"/>
            <w:gridSpan w:val="3"/>
          </w:tcPr>
          <w:p w:rsidR="00427844" w:rsidRPr="00CB62BC" w:rsidRDefault="00427844" w:rsidP="003747D1">
            <w:pPr>
              <w:numPr>
                <w:ilvl w:val="3"/>
                <w:numId w:val="1"/>
              </w:numPr>
              <w:tabs>
                <w:tab w:val="clear" w:pos="2520"/>
              </w:tabs>
              <w:ind w:left="22" w:firstLine="425"/>
              <w:jc w:val="center"/>
              <w:rPr>
                <w:lang w:val="uk-UA"/>
              </w:rPr>
            </w:pPr>
            <w:r w:rsidRPr="00CB62BC">
              <w:rPr>
                <w:rFonts w:eastAsia="Times New Roman"/>
                <w:i/>
                <w:lang w:val="uk-UA"/>
              </w:rPr>
              <w:t>Загальні вимоги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  <w:vMerge w:val="restart"/>
          </w:tcPr>
          <w:p w:rsidR="00427844" w:rsidRPr="00CB62BC" w:rsidRDefault="00427844" w:rsidP="007C1627">
            <w:pPr>
              <w:jc w:val="center"/>
              <w:rPr>
                <w:lang w:val="uk-UA"/>
              </w:rPr>
            </w:pPr>
            <w:r w:rsidRPr="00CB62BC">
              <w:rPr>
                <w:lang w:val="uk-UA"/>
              </w:rPr>
              <w:t>1.1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Освіта</w:t>
            </w:r>
          </w:p>
        </w:tc>
        <w:tc>
          <w:tcPr>
            <w:tcW w:w="5767" w:type="dxa"/>
          </w:tcPr>
          <w:p w:rsidR="00427844" w:rsidRPr="00CB62BC" w:rsidRDefault="00427844" w:rsidP="00CB62BC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Вища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  <w:vMerge/>
          </w:tcPr>
          <w:p w:rsidR="00427844" w:rsidRPr="00CB62BC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Ступінь вищої освіти</w:t>
            </w:r>
          </w:p>
        </w:tc>
        <w:tc>
          <w:tcPr>
            <w:tcW w:w="5767" w:type="dxa"/>
          </w:tcPr>
          <w:p w:rsidR="00901D63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Магістр</w:t>
            </w:r>
            <w:r w:rsidR="00901D63">
              <w:rPr>
                <w:lang w:val="uk-UA"/>
              </w:rPr>
              <w:t xml:space="preserve"> (спеціаліст),</w:t>
            </w:r>
          </w:p>
          <w:p w:rsidR="00427844" w:rsidRPr="00CB62BC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бакалавр (дипломований</w:t>
            </w:r>
            <w:r w:rsidRPr="00CB62BC">
              <w:t xml:space="preserve"> </w:t>
            </w:r>
            <w:r w:rsidRPr="00CB62BC">
              <w:rPr>
                <w:lang w:val="uk-UA"/>
              </w:rPr>
              <w:t>після 2015 року)</w:t>
            </w:r>
          </w:p>
        </w:tc>
      </w:tr>
      <w:tr w:rsidR="00427844" w:rsidRPr="0040588C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1.2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Стаж </w:t>
            </w:r>
            <w:r w:rsidR="00CE4148">
              <w:rPr>
                <w:lang w:val="uk-UA"/>
              </w:rPr>
              <w:t>роботи</w:t>
            </w:r>
            <w:r w:rsidRPr="00A24649">
              <w:rPr>
                <w:sz w:val="20"/>
                <w:szCs w:val="20"/>
                <w:lang w:val="uk-UA"/>
              </w:rPr>
              <w:t xml:space="preserve"> (тривалість у роках, </w:t>
            </w:r>
            <w:r w:rsidR="00A24649">
              <w:rPr>
                <w:sz w:val="20"/>
                <w:szCs w:val="20"/>
                <w:lang w:val="uk-UA"/>
              </w:rPr>
              <w:t xml:space="preserve">зокрема </w:t>
            </w:r>
            <w:r w:rsidR="00A24649" w:rsidRPr="00B75FAD">
              <w:rPr>
                <w:sz w:val="20"/>
                <w:szCs w:val="20"/>
                <w:lang w:val="uk-UA"/>
              </w:rPr>
              <w:t>на посадах певної категорії</w:t>
            </w:r>
            <w:r w:rsidRPr="00A24649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767" w:type="dxa"/>
          </w:tcPr>
          <w:p w:rsidR="00EB59B8" w:rsidRPr="00FF4C2C" w:rsidRDefault="00CE4148" w:rsidP="00FF4C2C">
            <w:pPr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Загальний с</w:t>
            </w:r>
            <w:r w:rsidR="00FF4C2C" w:rsidRPr="009E42EE">
              <w:rPr>
                <w:shd w:val="clear" w:color="auto" w:fill="FFFFFF"/>
                <w:lang w:val="uk-UA"/>
              </w:rPr>
              <w:t>таж роботи не менше трьох років.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Del="00E7634A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1.3</w:t>
            </w:r>
          </w:p>
        </w:tc>
        <w:tc>
          <w:tcPr>
            <w:tcW w:w="3939" w:type="dxa"/>
          </w:tcPr>
          <w:p w:rsidR="00427844" w:rsidRPr="00CB62BC" w:rsidDel="00E7634A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Володіння державною мовою</w:t>
            </w:r>
          </w:p>
        </w:tc>
        <w:tc>
          <w:tcPr>
            <w:tcW w:w="5767" w:type="dxa"/>
          </w:tcPr>
          <w:p w:rsidR="00427844" w:rsidRPr="00CB62BC" w:rsidRDefault="00427844" w:rsidP="007C1627">
            <w:pPr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Вільне</w:t>
            </w:r>
          </w:p>
        </w:tc>
      </w:tr>
      <w:tr w:rsidR="00427844" w:rsidRPr="00901D63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1.4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 w:eastAsia="uk-UA"/>
              </w:rPr>
              <w:t xml:space="preserve">Володіння іноземними мовами </w:t>
            </w:r>
          </w:p>
        </w:tc>
        <w:tc>
          <w:tcPr>
            <w:tcW w:w="5767" w:type="dxa"/>
          </w:tcPr>
          <w:p w:rsidR="00427844" w:rsidRPr="00CB62BC" w:rsidRDefault="00427844" w:rsidP="007C1627">
            <w:pPr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proofErr w:type="spellStart"/>
            <w:r w:rsidRPr="00CB62BC">
              <w:rPr>
                <w:color w:val="111111"/>
                <w:lang w:val="uk-UA"/>
              </w:rPr>
              <w:t>Upper-</w:t>
            </w:r>
            <w:r w:rsidRPr="00CB62BC">
              <w:rPr>
                <w:lang w:val="uk-UA"/>
              </w:rPr>
              <w:t>Intermediate</w:t>
            </w:r>
            <w:proofErr w:type="spellEnd"/>
            <w:r w:rsidRPr="00CB62BC">
              <w:rPr>
                <w:lang w:val="uk-UA"/>
              </w:rPr>
              <w:t xml:space="preserve"> (</w:t>
            </w:r>
            <w:r w:rsidRPr="00CB62BC">
              <w:rPr>
                <w:lang w:val="en-US"/>
              </w:rPr>
              <w:t>B</w:t>
            </w:r>
            <w:r w:rsidRPr="00CB62BC">
              <w:rPr>
                <w:lang w:val="uk-UA"/>
              </w:rPr>
              <w:t>2) та вище є додатковою перевагою.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  <w:shd w:val="clear" w:color="auto" w:fill="auto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1.5</w:t>
            </w:r>
          </w:p>
        </w:tc>
        <w:tc>
          <w:tcPr>
            <w:tcW w:w="3939" w:type="dxa"/>
            <w:shd w:val="clear" w:color="auto" w:fill="auto"/>
          </w:tcPr>
          <w:p w:rsidR="00427844" w:rsidRPr="00CB62BC" w:rsidRDefault="00427844" w:rsidP="00A2464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2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67" w:type="dxa"/>
            <w:shd w:val="clear" w:color="auto" w:fill="auto"/>
          </w:tcPr>
          <w:p w:rsidR="00427844" w:rsidRPr="00CB62BC" w:rsidRDefault="0040588C" w:rsidP="007C1627">
            <w:pPr>
              <w:jc w:val="both"/>
              <w:rPr>
                <w:highlight w:val="yellow"/>
                <w:lang w:val="uk-UA"/>
              </w:rPr>
            </w:pPr>
            <w:r w:rsidRPr="0017448B">
              <w:rPr>
                <w:lang w:val="uk-UA"/>
              </w:rPr>
              <w:t>Безстроково.</w:t>
            </w:r>
          </w:p>
        </w:tc>
      </w:tr>
      <w:tr w:rsidR="00427844" w:rsidRPr="00CB62BC" w:rsidTr="009E211B">
        <w:trPr>
          <w:trHeight w:val="20"/>
        </w:trPr>
        <w:tc>
          <w:tcPr>
            <w:tcW w:w="10342" w:type="dxa"/>
            <w:gridSpan w:val="3"/>
          </w:tcPr>
          <w:p w:rsidR="00427844" w:rsidRPr="00CB62BC" w:rsidRDefault="00427844" w:rsidP="003747D1">
            <w:pPr>
              <w:numPr>
                <w:ilvl w:val="3"/>
                <w:numId w:val="1"/>
              </w:numPr>
              <w:tabs>
                <w:tab w:val="clear" w:pos="2520"/>
              </w:tabs>
              <w:ind w:left="22" w:firstLine="425"/>
              <w:jc w:val="center"/>
              <w:rPr>
                <w:rFonts w:eastAsia="Times New Roman"/>
                <w:i/>
                <w:lang w:val="uk-UA"/>
              </w:rPr>
            </w:pPr>
            <w:r w:rsidRPr="00CB62BC">
              <w:rPr>
                <w:rFonts w:eastAsia="Times New Roman"/>
                <w:i/>
                <w:lang w:val="uk-UA"/>
              </w:rPr>
              <w:t>Спеціальні вимоги</w:t>
            </w:r>
          </w:p>
        </w:tc>
      </w:tr>
      <w:tr w:rsidR="00427844" w:rsidRPr="001F2C26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</w:t>
            </w:r>
          </w:p>
        </w:tc>
        <w:tc>
          <w:tcPr>
            <w:tcW w:w="3939" w:type="dxa"/>
          </w:tcPr>
          <w:p w:rsidR="00427844" w:rsidRPr="00CB62BC" w:rsidRDefault="00427844" w:rsidP="00A24649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Галузь знань </w:t>
            </w:r>
            <w:r w:rsidRPr="00A24649">
              <w:rPr>
                <w:rFonts w:eastAsiaTheme="minorEastAsia"/>
                <w:sz w:val="20"/>
                <w:szCs w:val="20"/>
                <w:lang w:val="uk-UA"/>
              </w:rPr>
              <w:t>(найменування спеціальності)</w:t>
            </w:r>
          </w:p>
        </w:tc>
        <w:tc>
          <w:tcPr>
            <w:tcW w:w="5767" w:type="dxa"/>
          </w:tcPr>
          <w:p w:rsidR="00427844" w:rsidRPr="00FF4C2C" w:rsidRDefault="00FF4C2C" w:rsidP="00254720">
            <w:pPr>
              <w:jc w:val="both"/>
              <w:rPr>
                <w:lang w:val="uk-UA"/>
              </w:rPr>
            </w:pPr>
            <w:r w:rsidRPr="00FF4C2C">
              <w:rPr>
                <w:lang w:val="uk-UA"/>
              </w:rPr>
              <w:t>Без обмежень.</w:t>
            </w:r>
          </w:p>
        </w:tc>
      </w:tr>
      <w:tr w:rsidR="00427844" w:rsidRPr="00A24649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2.2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caps/>
                <w:lang w:val="uk-UA"/>
              </w:rPr>
            </w:pPr>
            <w:r w:rsidRPr="00CB62BC">
              <w:rPr>
                <w:lang w:val="uk-UA"/>
              </w:rPr>
              <w:t xml:space="preserve">Спеціальний досвід роботи </w:t>
            </w:r>
            <w:r w:rsidR="00A24649" w:rsidRPr="00B75FAD">
              <w:rPr>
                <w:sz w:val="20"/>
                <w:szCs w:val="20"/>
                <w:lang w:val="uk-UA"/>
              </w:rPr>
              <w:t>(тривалість, сфера чи напрям роботи)</w:t>
            </w:r>
          </w:p>
        </w:tc>
        <w:tc>
          <w:tcPr>
            <w:tcW w:w="5767" w:type="dxa"/>
          </w:tcPr>
          <w:p w:rsidR="00CE4148" w:rsidRDefault="00895D7A" w:rsidP="00CE4148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E4148">
              <w:rPr>
                <w:lang w:val="uk-UA"/>
              </w:rPr>
              <w:t>Досвід</w:t>
            </w:r>
            <w:r w:rsidR="00B60535" w:rsidRPr="00CE4148">
              <w:rPr>
                <w:lang w:val="uk-UA"/>
              </w:rPr>
              <w:t xml:space="preserve"> роботи </w:t>
            </w:r>
            <w:r w:rsidR="00672BD0" w:rsidRPr="00CE4148">
              <w:rPr>
                <w:lang w:val="uk-UA"/>
              </w:rPr>
              <w:t>тривалістю не менше двох років</w:t>
            </w:r>
            <w:r w:rsidR="004A5B6C" w:rsidRPr="00CE4148">
              <w:rPr>
                <w:spacing w:val="-4"/>
                <w:shd w:val="clear" w:color="auto" w:fill="FFFFFF"/>
                <w:lang w:val="uk-UA"/>
              </w:rPr>
              <w:t xml:space="preserve"> протягом останніх п’яти років</w:t>
            </w:r>
            <w:r w:rsidR="004A5B6C" w:rsidRPr="00CE4148">
              <w:rPr>
                <w:lang w:val="uk-UA"/>
              </w:rPr>
              <w:t xml:space="preserve"> </w:t>
            </w:r>
            <w:r w:rsidR="00722719" w:rsidRPr="00CE4148">
              <w:rPr>
                <w:lang w:val="uk-UA"/>
              </w:rPr>
              <w:t>у</w:t>
            </w:r>
            <w:r w:rsidR="00D85612" w:rsidRPr="00CE4148">
              <w:rPr>
                <w:lang w:val="uk-UA"/>
              </w:rPr>
              <w:t xml:space="preserve"> підрозділах</w:t>
            </w:r>
            <w:r w:rsidR="004A5B6C" w:rsidRPr="00CE4148">
              <w:rPr>
                <w:lang w:val="uk-UA"/>
              </w:rPr>
              <w:t xml:space="preserve"> </w:t>
            </w:r>
            <w:r w:rsidR="00B60535" w:rsidRPr="00CE4148">
              <w:rPr>
                <w:lang w:val="uk-UA"/>
              </w:rPr>
              <w:t xml:space="preserve">аналітики, аудиту, ревізії, інспекції, </w:t>
            </w:r>
            <w:r w:rsidR="00722719" w:rsidRPr="00CE4148">
              <w:rPr>
                <w:lang w:val="uk-UA"/>
              </w:rPr>
              <w:t xml:space="preserve">внутрішнього </w:t>
            </w:r>
            <w:r w:rsidR="00CE4148" w:rsidRPr="00CE4148">
              <w:rPr>
                <w:lang w:val="uk-UA"/>
              </w:rPr>
              <w:t>або державного фінансового контролю</w:t>
            </w:r>
            <w:r w:rsidR="00722719" w:rsidRPr="00CE4148">
              <w:rPr>
                <w:lang w:val="uk-UA"/>
              </w:rPr>
              <w:t xml:space="preserve">, </w:t>
            </w:r>
            <w:r w:rsidR="00CE4148" w:rsidRPr="00CE4148">
              <w:rPr>
                <w:lang w:val="uk-UA"/>
              </w:rPr>
              <w:t xml:space="preserve">податкового або митного контролю, </w:t>
            </w:r>
            <w:r w:rsidR="00B60535" w:rsidRPr="00CE4148">
              <w:rPr>
                <w:lang w:val="uk-UA"/>
              </w:rPr>
              <w:t xml:space="preserve">оцінки </w:t>
            </w:r>
            <w:r w:rsidR="00CE4148" w:rsidRPr="00CE4148">
              <w:rPr>
                <w:lang w:val="uk-UA"/>
              </w:rPr>
              <w:t>фінансових, корупційних або податкових ризиків</w:t>
            </w:r>
            <w:r w:rsidR="00B60535" w:rsidRPr="00CE4148">
              <w:rPr>
                <w:lang w:val="uk-UA"/>
              </w:rPr>
              <w:t>,</w:t>
            </w:r>
            <w:r w:rsidRPr="00CE4148">
              <w:rPr>
                <w:lang w:val="uk-UA"/>
              </w:rPr>
              <w:t xml:space="preserve"> </w:t>
            </w:r>
            <w:r w:rsidR="00D8547B">
              <w:rPr>
                <w:lang w:val="uk-UA"/>
              </w:rPr>
              <w:t xml:space="preserve">фінансового, </w:t>
            </w:r>
            <w:r w:rsidR="004A5B6C" w:rsidRPr="00CE4148">
              <w:rPr>
                <w:lang w:val="uk-UA"/>
              </w:rPr>
              <w:t xml:space="preserve">економічного </w:t>
            </w:r>
            <w:r w:rsidR="00D8547B">
              <w:rPr>
                <w:lang w:val="uk-UA"/>
              </w:rPr>
              <w:t xml:space="preserve">чи </w:t>
            </w:r>
            <w:r w:rsidR="00D8547B" w:rsidRPr="00CE4148">
              <w:rPr>
                <w:lang w:val="uk-UA"/>
              </w:rPr>
              <w:t xml:space="preserve">кримінального </w:t>
            </w:r>
            <w:r w:rsidR="004A5B6C" w:rsidRPr="00CE4148">
              <w:rPr>
                <w:lang w:val="uk-UA"/>
              </w:rPr>
              <w:t xml:space="preserve">аналізу, </w:t>
            </w:r>
            <w:r w:rsidR="00722719" w:rsidRPr="00CE4148">
              <w:rPr>
                <w:lang w:val="uk-UA"/>
              </w:rPr>
              <w:t xml:space="preserve">фінансового моніторингу, </w:t>
            </w:r>
            <w:r w:rsidR="004A5B6C" w:rsidRPr="00CE4148">
              <w:rPr>
                <w:lang w:val="uk-UA"/>
              </w:rPr>
              <w:t>аналізу фінансових операцій</w:t>
            </w:r>
            <w:r w:rsidR="00CE4148" w:rsidRPr="00CE4148">
              <w:rPr>
                <w:lang w:val="uk-UA"/>
              </w:rPr>
              <w:t>,</w:t>
            </w:r>
            <w:r w:rsidR="00D8547B">
              <w:rPr>
                <w:lang w:val="uk-UA"/>
              </w:rPr>
              <w:t xml:space="preserve"> </w:t>
            </w:r>
            <w:r w:rsidR="00D8547B" w:rsidRPr="00D8547B">
              <w:rPr>
                <w:lang w:val="uk-UA"/>
              </w:rPr>
              <w:t xml:space="preserve">аналізу та моніторингу процедур публічних (тендерних) </w:t>
            </w:r>
            <w:proofErr w:type="spellStart"/>
            <w:r w:rsidR="00D8547B" w:rsidRPr="00D8547B">
              <w:rPr>
                <w:lang w:val="uk-UA"/>
              </w:rPr>
              <w:t>закупівель</w:t>
            </w:r>
            <w:proofErr w:type="spellEnd"/>
            <w:r w:rsidR="00D8547B">
              <w:rPr>
                <w:lang w:val="uk-UA"/>
              </w:rPr>
              <w:t>,</w:t>
            </w:r>
            <w:r w:rsidR="00CE4148" w:rsidRPr="00CE4148">
              <w:rPr>
                <w:lang w:val="uk-UA"/>
              </w:rPr>
              <w:t xml:space="preserve"> OSINT-аналітики</w:t>
            </w:r>
            <w:r w:rsidR="004A5B6C" w:rsidRPr="00CE4148">
              <w:rPr>
                <w:lang w:val="uk-UA"/>
              </w:rPr>
              <w:t xml:space="preserve">, </w:t>
            </w:r>
            <w:r w:rsidR="00D8547B">
              <w:rPr>
                <w:lang w:val="uk-UA"/>
              </w:rPr>
              <w:t xml:space="preserve">а також </w:t>
            </w:r>
            <w:r w:rsidR="00CE4148" w:rsidRPr="00D8547B">
              <w:rPr>
                <w:lang w:val="uk-UA"/>
              </w:rPr>
              <w:t xml:space="preserve">аналітичної діяльності в межах міжнародних </w:t>
            </w:r>
            <w:proofErr w:type="spellStart"/>
            <w:r w:rsidR="00CE4148" w:rsidRPr="00D8547B">
              <w:rPr>
                <w:lang w:val="uk-UA"/>
              </w:rPr>
              <w:t>проєктів</w:t>
            </w:r>
            <w:proofErr w:type="spellEnd"/>
            <w:r w:rsidR="00CE4148" w:rsidRPr="00D8547B">
              <w:rPr>
                <w:lang w:val="uk-UA"/>
              </w:rPr>
              <w:t xml:space="preserve"> та програм</w:t>
            </w:r>
            <w:r w:rsidR="00CE4148" w:rsidRPr="00CE4148">
              <w:rPr>
                <w:lang w:val="uk-UA"/>
              </w:rPr>
              <w:t>, пов’язаних з фінансовими розслідуваннями, протидією корупції або відмиванню доходів.</w:t>
            </w:r>
          </w:p>
          <w:p w:rsidR="0042234F" w:rsidRPr="00CE4148" w:rsidRDefault="00CE4148" w:rsidP="00CE4148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CE4148">
              <w:rPr>
                <w:lang w:val="uk-UA"/>
              </w:rPr>
              <w:t>Досвід роботи</w:t>
            </w:r>
            <w:r w:rsidR="00D8547B">
              <w:rPr>
                <w:lang w:val="uk-UA"/>
              </w:rPr>
              <w:t xml:space="preserve"> в</w:t>
            </w:r>
            <w:r w:rsidRPr="00CE4148">
              <w:rPr>
                <w:lang w:val="uk-UA"/>
              </w:rPr>
              <w:t xml:space="preserve"> органах фінансового контролю, податкових або митних органах </w:t>
            </w:r>
            <w:r w:rsidR="00D85612" w:rsidRPr="00CE4148">
              <w:rPr>
                <w:lang w:val="uk-UA"/>
              </w:rPr>
              <w:t>є додатковою перевагою.</w:t>
            </w:r>
          </w:p>
        </w:tc>
      </w:tr>
      <w:tr w:rsidR="00427844" w:rsidRPr="00901D63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lang w:val="uk-UA"/>
              </w:rPr>
              <w:br w:type="page"/>
            </w:r>
            <w:r w:rsidRPr="00CB62BC">
              <w:rPr>
                <w:lang w:val="uk-UA"/>
              </w:rPr>
              <w:br w:type="page"/>
            </w:r>
            <w:r w:rsidRPr="00CB62BC">
              <w:rPr>
                <w:caps/>
                <w:lang w:val="uk-UA"/>
              </w:rPr>
              <w:t>2.3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767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Конституція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Бюджетний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Митний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Податковий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державну службу»;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Національне антикорупційне бюро України»;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оперативно-розшукову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публічні закупівлі»;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Закон України «Про управління об’єктами державної власності»</w:t>
            </w:r>
            <w:r w:rsidRPr="00CB62BC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427844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color w:val="010302"/>
                <w:sz w:val="24"/>
                <w:szCs w:val="24"/>
              </w:rPr>
              <w:lastRenderedPageBreak/>
              <w:t>З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акон України «Про запобігання та протидію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легалізації (відмиванню) доходів, одержаних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злочинним шляхом, фінансуванню тероризму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>та фінансуванню розповсюдження зброї</w:t>
            </w:r>
            <w:r w:rsidRPr="00CB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масового знищення».  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 xml:space="preserve">Професійні знання </w:t>
            </w:r>
            <w:r w:rsidR="00A24649" w:rsidRPr="00FE1307">
              <w:rPr>
                <w:sz w:val="20"/>
                <w:szCs w:val="20"/>
                <w:lang w:val="uk-UA"/>
              </w:rPr>
              <w:t>(відповідно до посади з урахуванням вимог</w:t>
            </w:r>
            <w:r w:rsidR="00A24649" w:rsidRPr="00FE1307">
              <w:rPr>
                <w:lang w:val="uk-UA"/>
              </w:rPr>
              <w:t xml:space="preserve"> </w:t>
            </w:r>
            <w:r w:rsidR="00A24649" w:rsidRPr="00FE1307">
              <w:rPr>
                <w:sz w:val="20"/>
                <w:szCs w:val="20"/>
                <w:lang w:val="uk-UA"/>
              </w:rPr>
              <w:t>спеціальних законів)</w:t>
            </w:r>
          </w:p>
        </w:tc>
        <w:tc>
          <w:tcPr>
            <w:tcW w:w="5767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законодавства України, що регулює діяльність Національного бюро, зокрема у сфері досудового розслідування, оперативно-розшукової діяльності, запобігання та протидії корупції, захисту інформації та державної таємниці;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методології кримінального аналізу та проведення економічних досліджень;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принципів аналізу фінансово-господарської діяльності суб’єктів господарювання, фінансової, бухгалтерської та податкової звітності;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стандартів бухгалтерського обліку та аудиту, основ фінансового контролю, управління ризиками та регламентації бізнес-процесів;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знання норм службової та професійної етики, загальних принципів службової поведінки державних службовців та осіб начальницького складу, вимог антикорупційного законодавства та запобігання конфлікту інтересів;</w:t>
            </w:r>
          </w:p>
          <w:p w:rsidR="00427844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досконале знання державної мови.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2.5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Лідерство</w:t>
            </w:r>
          </w:p>
        </w:tc>
        <w:tc>
          <w:tcPr>
            <w:tcW w:w="5767" w:type="dxa"/>
          </w:tcPr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ініціативність;</w:t>
            </w:r>
          </w:p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вміння ділитися новим знаннями;</w:t>
            </w:r>
          </w:p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вміння допомагати колегам при вирішенні складних завдань;</w:t>
            </w:r>
          </w:p>
          <w:p w:rsidR="00427844" w:rsidRPr="00CB62BC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вміння брати на себе відповідальність.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2.6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Прийняття ефективних рішень</w:t>
            </w:r>
          </w:p>
        </w:tc>
        <w:tc>
          <w:tcPr>
            <w:tcW w:w="5767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орієнтацію на досягнення конкретного результату;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аналізувати, зіставляти та узагальнювати багаторівневу інформацію з різних джерел;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уміння прогнозувати наслідки рішень, оцінювати ризики та альтернативні сценарії;</w:t>
            </w:r>
          </w:p>
          <w:p w:rsidR="00427844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системне мислення та здатність бачити взаємозв’язки між процесами, рішеннями та їх впливом на результати діяльності відділу.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2.7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Комунікація та взаємодія</w:t>
            </w:r>
          </w:p>
        </w:tc>
        <w:tc>
          <w:tcPr>
            <w:tcW w:w="5767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до чіткої, конструктивної та професійної комунікації з керівництвом та колегами;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уміння надавати та отримувати зворотний зв’язок у коректній та результативній формі;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 у службовому спілкуванні;</w:t>
            </w:r>
          </w:p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запобігати виникненню конфліктних ситуацій та ефективно врегульовувати їх;</w:t>
            </w:r>
          </w:p>
          <w:p w:rsidR="00427844" w:rsidRPr="00CB62BC" w:rsidRDefault="004A35DD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побудова ефективної взаємодії з </w:t>
            </w:r>
            <w:r w:rsidR="00CB62BC" w:rsidRPr="00CB62BC">
              <w:rPr>
                <w:rFonts w:ascii="Times New Roman" w:hAnsi="Times New Roman"/>
                <w:sz w:val="24"/>
                <w:szCs w:val="24"/>
              </w:rPr>
              <w:t>колегами.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2.8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767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ефективно вирішувати складні, комплексні та нестандартні завдання;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 xml:space="preserve">уміння ефективно працювати в умовах </w:t>
            </w:r>
            <w:proofErr w:type="spellStart"/>
            <w:r w:rsidRPr="00CB62BC">
              <w:rPr>
                <w:rFonts w:ascii="Times New Roman" w:hAnsi="Times New Roman"/>
                <w:sz w:val="24"/>
                <w:szCs w:val="24"/>
              </w:rPr>
              <w:t>багатозадачності</w:t>
            </w:r>
            <w:proofErr w:type="spellEnd"/>
            <w:r w:rsidRPr="00CB62BC">
              <w:rPr>
                <w:rFonts w:ascii="Times New Roman" w:hAnsi="Times New Roman"/>
                <w:sz w:val="24"/>
                <w:szCs w:val="24"/>
              </w:rPr>
              <w:t xml:space="preserve"> та обмежених строків;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виконання службових обов’язків з урахуванням підвищеної відповідальності, інтенсивності та особливого характеру роботи;</w:t>
            </w:r>
          </w:p>
          <w:p w:rsidR="00427844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lastRenderedPageBreak/>
              <w:t>дотримання високих стандартів якості під час підготовки матеріалів.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Командна робота та взаємодія</w:t>
            </w:r>
          </w:p>
        </w:tc>
        <w:tc>
          <w:tcPr>
            <w:tcW w:w="5767" w:type="dxa"/>
          </w:tcPr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 xml:space="preserve">вміння працювати в команді; </w:t>
            </w:r>
          </w:p>
          <w:p w:rsidR="00427844" w:rsidRPr="00CB62BC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вміння ефективної координації з іншими;</w:t>
            </w:r>
          </w:p>
          <w:p w:rsidR="00427844" w:rsidRPr="00CB62BC" w:rsidRDefault="00CB62BC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сприяння формуванню професійного та  довірливого робочого середовища</w:t>
            </w:r>
            <w:r w:rsidR="00427844" w:rsidRPr="00CB62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2.10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Сприйняття змін</w:t>
            </w:r>
          </w:p>
        </w:tc>
        <w:tc>
          <w:tcPr>
            <w:tcW w:w="5767" w:type="dxa"/>
          </w:tcPr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здатність адаптуватися до змін у завданнях, пріоритетах і підходах до роботи;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відкритість до впровадження нових інструментів, методів і управлінських рішень;</w:t>
            </w:r>
          </w:p>
          <w:p w:rsidR="00427844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CB62BC">
              <w:rPr>
                <w:rFonts w:ascii="Times New Roman" w:hAnsi="Times New Roman"/>
                <w:sz w:val="24"/>
                <w:szCs w:val="24"/>
              </w:rPr>
              <w:t>стресостійкість</w:t>
            </w:r>
            <w:proofErr w:type="spellEnd"/>
            <w:r w:rsidRPr="00CB62BC">
              <w:rPr>
                <w:rFonts w:ascii="Times New Roman" w:hAnsi="Times New Roman"/>
                <w:sz w:val="24"/>
                <w:szCs w:val="24"/>
              </w:rPr>
              <w:t xml:space="preserve"> та здатність ефективно працювати в умовах підвищеного навантаження</w:t>
            </w:r>
            <w:r w:rsidR="00427844" w:rsidRPr="00CB62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2.11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Технічні вміння</w:t>
            </w:r>
          </w:p>
        </w:tc>
        <w:tc>
          <w:tcPr>
            <w:tcW w:w="5767" w:type="dxa"/>
          </w:tcPr>
          <w:p w:rsidR="00CB62BC" w:rsidRPr="00CB62BC" w:rsidRDefault="00CB62BC" w:rsidP="00CB62BC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5" w:hanging="2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 xml:space="preserve">знання комп’ютерної техніки та програмного забезпечення, досвідчений користувач </w:t>
            </w:r>
            <w:hyperlink r:id="rId5" w:history="1">
              <w:r w:rsidRPr="00CB62BC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 w:rsidRPr="00CB62BC">
              <w:rPr>
                <w:rFonts w:ascii="Times New Roman" w:hAnsi="Times New Roman"/>
                <w:sz w:val="24"/>
                <w:szCs w:val="24"/>
              </w:rPr>
              <w:t xml:space="preserve"> Word та </w:t>
            </w:r>
            <w:hyperlink r:id="rId6" w:history="1">
              <w:r w:rsidRPr="00CB62BC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 w:rsidRPr="00CB62BC">
              <w:rPr>
                <w:rFonts w:ascii="Times New Roman" w:hAnsi="Times New Roman"/>
                <w:sz w:val="24"/>
                <w:szCs w:val="24"/>
              </w:rPr>
              <w:t xml:space="preserve"> Excel;</w:t>
            </w:r>
          </w:p>
          <w:p w:rsidR="00CB62BC" w:rsidRPr="00CB62BC" w:rsidRDefault="00CB62BC" w:rsidP="003D3ECA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CB62BC">
              <w:rPr>
                <w:lang w:eastAsia="en-US"/>
              </w:rPr>
              <w:t xml:space="preserve">знання програмних рішень для аналізу та візуалізації інформації (i2 </w:t>
            </w:r>
            <w:proofErr w:type="spellStart"/>
            <w:r w:rsidRPr="00CB62BC">
              <w:rPr>
                <w:lang w:eastAsia="en-US"/>
              </w:rPr>
              <w:t>Analyst’s</w:t>
            </w:r>
            <w:proofErr w:type="spellEnd"/>
            <w:r w:rsidRPr="00CB62BC">
              <w:rPr>
                <w:lang w:eastAsia="en-US"/>
              </w:rPr>
              <w:t xml:space="preserve"> </w:t>
            </w:r>
            <w:proofErr w:type="spellStart"/>
            <w:r w:rsidRPr="00CB62BC">
              <w:rPr>
                <w:lang w:eastAsia="en-US"/>
              </w:rPr>
              <w:t>Noteboo</w:t>
            </w:r>
            <w:r w:rsidR="003D3ECA">
              <w:rPr>
                <w:lang w:eastAsia="en-US"/>
              </w:rPr>
              <w:t>k</w:t>
            </w:r>
            <w:proofErr w:type="spellEnd"/>
            <w:r w:rsidR="003D3ECA">
              <w:rPr>
                <w:lang w:eastAsia="en-US"/>
              </w:rPr>
              <w:t xml:space="preserve">, </w:t>
            </w:r>
            <w:proofErr w:type="spellStart"/>
            <w:r w:rsidR="003D3ECA">
              <w:rPr>
                <w:lang w:eastAsia="en-US"/>
              </w:rPr>
              <w:t>Tableau</w:t>
            </w:r>
            <w:proofErr w:type="spellEnd"/>
            <w:r w:rsidR="003D3ECA">
              <w:rPr>
                <w:lang w:eastAsia="en-US"/>
              </w:rPr>
              <w:t xml:space="preserve">, SQL, </w:t>
            </w:r>
            <w:proofErr w:type="spellStart"/>
            <w:r w:rsidR="003D3ECA">
              <w:rPr>
                <w:lang w:eastAsia="en-US"/>
              </w:rPr>
              <w:t>Power</w:t>
            </w:r>
            <w:proofErr w:type="spellEnd"/>
            <w:r w:rsidR="003D3ECA">
              <w:rPr>
                <w:lang w:eastAsia="en-US"/>
              </w:rPr>
              <w:t xml:space="preserve"> BI тощо)</w:t>
            </w:r>
            <w:r w:rsidR="00672BD0" w:rsidRPr="00672BD0">
              <w:rPr>
                <w:lang w:eastAsia="en-US"/>
              </w:rPr>
              <w:t xml:space="preserve"> </w:t>
            </w:r>
            <w:r w:rsidR="00672BD0">
              <w:rPr>
                <w:lang w:eastAsia="en-US"/>
              </w:rPr>
              <w:t>є додатковою перевагою</w:t>
            </w:r>
            <w:r w:rsidRPr="00CB62BC">
              <w:rPr>
                <w:lang w:eastAsia="en-US"/>
              </w:rPr>
              <w:t>;</w:t>
            </w:r>
          </w:p>
          <w:p w:rsidR="00427844" w:rsidRPr="003D3ECA" w:rsidRDefault="00CB62BC" w:rsidP="003D3ECA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CB62BC">
              <w:rPr>
                <w:lang w:eastAsia="en-US"/>
              </w:rPr>
              <w:t>розуміння підходів до обробки та аналізу в</w:t>
            </w:r>
            <w:r w:rsidR="003D3ECA">
              <w:rPr>
                <w:lang w:eastAsia="en-US"/>
              </w:rPr>
              <w:t>еликих обсягів даних (</w:t>
            </w:r>
            <w:proofErr w:type="spellStart"/>
            <w:r w:rsidR="003D3ECA">
              <w:rPr>
                <w:lang w:eastAsia="en-US"/>
              </w:rPr>
              <w:t>Big</w:t>
            </w:r>
            <w:proofErr w:type="spellEnd"/>
            <w:r w:rsidR="003D3ECA">
              <w:rPr>
                <w:lang w:eastAsia="en-US"/>
              </w:rPr>
              <w:t xml:space="preserve"> </w:t>
            </w:r>
            <w:proofErr w:type="spellStart"/>
            <w:r w:rsidR="003D3ECA">
              <w:rPr>
                <w:lang w:eastAsia="en-US"/>
              </w:rPr>
              <w:t>Data</w:t>
            </w:r>
            <w:proofErr w:type="spellEnd"/>
            <w:r w:rsidR="003D3ECA">
              <w:rPr>
                <w:lang w:eastAsia="en-US"/>
              </w:rPr>
              <w:t>)</w:t>
            </w:r>
            <w:r w:rsidRPr="003D3ECA">
              <w:t>.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  <w:r w:rsidRPr="00CB62BC">
              <w:rPr>
                <w:caps/>
                <w:lang w:val="uk-UA"/>
              </w:rPr>
              <w:t>2.12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Особистісні компетенції</w:t>
            </w:r>
          </w:p>
        </w:tc>
        <w:tc>
          <w:tcPr>
            <w:tcW w:w="5767" w:type="dxa"/>
          </w:tcPr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розвинені аналітичні здібності та логічне мислення;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уважність до деталей та здатність працювати з великими обсягами інформації;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висока самоорганізація та орієнтація на професійний розвиток;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доброчесність, дисциплінованість та відповідальне ставлення до виконання службових обов’язків;</w:t>
            </w:r>
          </w:p>
          <w:p w:rsidR="00CB62BC" w:rsidRPr="00CB62BC" w:rsidRDefault="00CB62BC" w:rsidP="00CB62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 у прийнятті рішень;</w:t>
            </w:r>
          </w:p>
          <w:p w:rsidR="00427844" w:rsidRPr="00CB62BC" w:rsidRDefault="00CB62BC" w:rsidP="00CB62B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 та результати діяльності.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</w:tcPr>
          <w:p w:rsidR="00427844" w:rsidRPr="00CB62BC" w:rsidRDefault="00427844" w:rsidP="007C1627">
            <w:pPr>
              <w:jc w:val="center"/>
              <w:rPr>
                <w:b/>
                <w:caps/>
                <w:lang w:val="uk-UA"/>
              </w:rPr>
            </w:pPr>
            <w:r w:rsidRPr="00CB62BC">
              <w:rPr>
                <w:b/>
                <w:caps/>
                <w:lang w:val="uk-UA"/>
              </w:rPr>
              <w:t>ІІІ</w:t>
            </w:r>
          </w:p>
        </w:tc>
        <w:tc>
          <w:tcPr>
            <w:tcW w:w="9706" w:type="dxa"/>
            <w:gridSpan w:val="2"/>
          </w:tcPr>
          <w:p w:rsidR="00427844" w:rsidRPr="00CB62BC" w:rsidRDefault="00427844" w:rsidP="007C1627">
            <w:pPr>
              <w:pStyle w:val="1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62BC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  <w:shd w:val="clear" w:color="auto" w:fill="auto"/>
          </w:tcPr>
          <w:p w:rsidR="00427844" w:rsidRPr="00CB62BC" w:rsidRDefault="00667C66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427844" w:rsidRPr="00CB62BC">
              <w:rPr>
                <w:caps/>
                <w:lang w:val="uk-UA"/>
              </w:rPr>
              <w:t>.1</w:t>
            </w:r>
          </w:p>
          <w:p w:rsidR="00427844" w:rsidRPr="00CB62BC" w:rsidRDefault="00427844" w:rsidP="007C1627">
            <w:pPr>
              <w:rPr>
                <w:lang w:val="uk-UA"/>
              </w:rPr>
            </w:pPr>
          </w:p>
          <w:p w:rsidR="00427844" w:rsidRPr="00CB62BC" w:rsidRDefault="00427844" w:rsidP="007C1627">
            <w:pPr>
              <w:rPr>
                <w:lang w:val="uk-UA"/>
              </w:rPr>
            </w:pPr>
          </w:p>
          <w:p w:rsidR="00427844" w:rsidRPr="00CB62BC" w:rsidRDefault="00427844" w:rsidP="007C1627">
            <w:pPr>
              <w:rPr>
                <w:lang w:val="uk-UA"/>
              </w:rPr>
            </w:pPr>
          </w:p>
          <w:p w:rsidR="00427844" w:rsidRPr="00CB62BC" w:rsidRDefault="00427844" w:rsidP="007C1627">
            <w:pPr>
              <w:rPr>
                <w:lang w:val="uk-UA"/>
              </w:rPr>
            </w:pP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Кваліфікаційний іспит (</w:t>
            </w:r>
            <w:r w:rsidRPr="00667C66">
              <w:rPr>
                <w:sz w:val="22"/>
                <w:lang w:val="uk-UA"/>
              </w:rPr>
              <w:t>тестування</w:t>
            </w:r>
            <w:r w:rsidRPr="00CB62BC">
              <w:rPr>
                <w:lang w:val="uk-UA"/>
              </w:rPr>
              <w:t>)</w:t>
            </w:r>
          </w:p>
        </w:tc>
        <w:tc>
          <w:tcPr>
            <w:tcW w:w="5767" w:type="dxa"/>
          </w:tcPr>
          <w:p w:rsidR="00427844" w:rsidRPr="00CB62BC" w:rsidRDefault="00427844" w:rsidP="00C707B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B62B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тестування на знання законодавства </w:t>
            </w:r>
            <w:r w:rsidR="00C707B5" w:rsidRPr="00C707B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першого </w:t>
            </w:r>
            <w:r w:rsidRPr="00CB62B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рівня (</w:t>
            </w:r>
            <w:hyperlink r:id="rId7" w:history="1">
              <w:r w:rsidRPr="00CB62BC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ru-RU"/>
                </w:rPr>
                <w:t>https://nabu.gov.ua/perelik-pytan-do-kvalifikaciynogo-ispytu</w:t>
              </w:r>
            </w:hyperlink>
            <w:r w:rsidRPr="00CB62B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);</w:t>
            </w:r>
          </w:p>
          <w:p w:rsidR="00427844" w:rsidRPr="00E44EED" w:rsidRDefault="00E44EED" w:rsidP="00C707B5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загальних здібностей.</w:t>
            </w:r>
          </w:p>
        </w:tc>
      </w:tr>
      <w:tr w:rsidR="00C50C11" w:rsidRPr="00CB62BC" w:rsidTr="009E211B">
        <w:trPr>
          <w:trHeight w:val="20"/>
        </w:trPr>
        <w:tc>
          <w:tcPr>
            <w:tcW w:w="636" w:type="dxa"/>
            <w:shd w:val="clear" w:color="auto" w:fill="auto"/>
          </w:tcPr>
          <w:p w:rsidR="00C50C11" w:rsidRPr="00CB62BC" w:rsidRDefault="00C50C11" w:rsidP="00C50C1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Pr="00CB62BC">
              <w:rPr>
                <w:caps/>
                <w:lang w:val="uk-UA"/>
              </w:rPr>
              <w:t>.2</w:t>
            </w:r>
          </w:p>
        </w:tc>
        <w:tc>
          <w:tcPr>
            <w:tcW w:w="3939" w:type="dxa"/>
          </w:tcPr>
          <w:p w:rsidR="00C50C11" w:rsidRPr="00CB62BC" w:rsidRDefault="00C50C11" w:rsidP="00C50C11">
            <w:pPr>
              <w:rPr>
                <w:lang w:val="uk-UA"/>
              </w:rPr>
            </w:pPr>
            <w:r w:rsidRPr="00CB62BC">
              <w:rPr>
                <w:lang w:val="uk-UA"/>
              </w:rPr>
              <w:t>Перелік документів:</w:t>
            </w:r>
          </w:p>
        </w:tc>
        <w:tc>
          <w:tcPr>
            <w:tcW w:w="5767" w:type="dxa"/>
          </w:tcPr>
          <w:p w:rsidR="00C50C11" w:rsidRPr="000F7FA5" w:rsidRDefault="00C50C11" w:rsidP="00C50C1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    О</w:t>
            </w:r>
            <w:r>
              <w:rPr>
                <w:rFonts w:eastAsia="Segoe UI"/>
                <w:lang w:val="uk-UA"/>
              </w:rPr>
              <w:t>соби, які бажають взяти участь у</w:t>
            </w:r>
            <w:r w:rsidRPr="000F7FA5">
              <w:rPr>
                <w:rFonts w:eastAsia="Segoe UI"/>
                <w:lang w:val="uk-UA"/>
              </w:rPr>
              <w:t xml:space="preserve"> конкурсі</w:t>
            </w:r>
            <w:r>
              <w:rPr>
                <w:rFonts w:eastAsia="Segoe UI"/>
                <w:lang w:val="uk-UA"/>
              </w:rPr>
              <w:t>,</w:t>
            </w:r>
            <w:r w:rsidRPr="000F7FA5">
              <w:rPr>
                <w:rFonts w:eastAsia="Segoe UI"/>
                <w:lang w:val="uk-UA"/>
              </w:rPr>
              <w:t xml:space="preserve"> подають в електронній формі безпосередньо </w:t>
            </w:r>
            <w:r w:rsidRPr="000F7FA5">
              <w:rPr>
                <w:rFonts w:eastAsia="Segoe UI"/>
                <w:b/>
                <w:lang w:val="uk-UA"/>
              </w:rPr>
              <w:t xml:space="preserve">через </w:t>
            </w:r>
            <w:proofErr w:type="spellStart"/>
            <w:r w:rsidRPr="000F7FA5">
              <w:rPr>
                <w:rFonts w:eastAsia="Segoe UI"/>
                <w:b/>
                <w:lang w:val="uk-UA"/>
              </w:rPr>
              <w:t>вебсайт</w:t>
            </w:r>
            <w:proofErr w:type="spellEnd"/>
            <w:r w:rsidRPr="000F7FA5">
              <w:rPr>
                <w:rFonts w:eastAsia="Segoe UI"/>
                <w:b/>
                <w:lang w:val="uk-UA"/>
              </w:rPr>
              <w:t xml:space="preserve"> Національного бюро</w:t>
            </w:r>
            <w:r w:rsidRPr="000F7FA5">
              <w:rPr>
                <w:rFonts w:eastAsia="Segoe UI"/>
                <w:lang w:val="uk-UA"/>
              </w:rPr>
              <w:t>:</w:t>
            </w:r>
          </w:p>
          <w:p w:rsidR="00C50C11" w:rsidRPr="000F7FA5" w:rsidRDefault="00C50C11" w:rsidP="00C50C1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посади;</w:t>
            </w:r>
          </w:p>
          <w:p w:rsidR="00C50C11" w:rsidRPr="000F7FA5" w:rsidRDefault="00C50C11" w:rsidP="00C50C1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2) анкету кандидата на посаду до Національного бюро (заповнюється через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бюро);</w:t>
            </w:r>
          </w:p>
          <w:p w:rsidR="00C50C11" w:rsidRPr="000F7FA5" w:rsidRDefault="00C50C11" w:rsidP="00C50C1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</w:t>
            </w:r>
            <w:r w:rsidRPr="000F7FA5">
              <w:rPr>
                <w:rFonts w:eastAsia="Segoe UI"/>
                <w:lang w:val="uk-UA"/>
              </w:rPr>
              <w:lastRenderedPageBreak/>
              <w:t>визначений Національною комісією зі стандартів державної мови;</w:t>
            </w:r>
          </w:p>
          <w:p w:rsidR="00C50C11" w:rsidRPr="000F7FA5" w:rsidRDefault="00C50C11" w:rsidP="00C50C1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C50C11" w:rsidRPr="000F7FA5" w:rsidRDefault="00C50C11" w:rsidP="00C50C1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C50C11" w:rsidRPr="000F7FA5" w:rsidRDefault="00C50C11" w:rsidP="00C50C1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C50C11" w:rsidRPr="000F7FA5" w:rsidRDefault="00C50C11" w:rsidP="00C50C11">
            <w:pPr>
              <w:tabs>
                <w:tab w:val="left" w:pos="486"/>
              </w:tabs>
              <w:jc w:val="both"/>
              <w:rPr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0F7FA5">
              <w:rPr>
                <w:lang w:val="uk-UA"/>
              </w:rPr>
              <w:t xml:space="preserve"> </w:t>
            </w:r>
          </w:p>
          <w:p w:rsidR="00C50C11" w:rsidRPr="000F7FA5" w:rsidRDefault="00C50C11" w:rsidP="00C50C1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lang w:val="uk-UA"/>
              </w:rPr>
              <w:t xml:space="preserve">     </w:t>
            </w:r>
          </w:p>
          <w:p w:rsidR="00C50C11" w:rsidRPr="000F7FA5" w:rsidRDefault="00C50C11" w:rsidP="00C50C11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          Особи, які є працівниками Національного бюро та бажають взяти участь у конкурсі, подають в електронній формі </w:t>
            </w:r>
            <w:r w:rsidRPr="000F7FA5">
              <w:rPr>
                <w:b/>
                <w:lang w:val="uk-UA"/>
              </w:rPr>
              <w:t xml:space="preserve">безпосередньо через </w:t>
            </w:r>
            <w:proofErr w:type="spellStart"/>
            <w:r w:rsidRPr="000F7FA5">
              <w:rPr>
                <w:b/>
                <w:lang w:val="uk-UA"/>
              </w:rPr>
              <w:t>вебсайт</w:t>
            </w:r>
            <w:proofErr w:type="spellEnd"/>
            <w:r w:rsidRPr="000F7FA5">
              <w:rPr>
                <w:b/>
                <w:lang w:val="uk-UA"/>
              </w:rPr>
              <w:t xml:space="preserve"> Національного бюро</w:t>
            </w:r>
            <w:r w:rsidRPr="000F7FA5">
              <w:rPr>
                <w:lang w:val="uk-UA"/>
              </w:rPr>
              <w:t>:</w:t>
            </w:r>
          </w:p>
          <w:p w:rsidR="00C50C11" w:rsidRPr="000F7FA5" w:rsidRDefault="00C50C11" w:rsidP="00C50C11">
            <w:pPr>
              <w:numPr>
                <w:ilvl w:val="0"/>
                <w:numId w:val="8"/>
              </w:numPr>
              <w:ind w:left="0" w:firstLine="316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заяву про участь у конкурсі встановленого зразка, підписану КЕП (додаток 3); </w:t>
            </w:r>
          </w:p>
          <w:p w:rsidR="00C50C11" w:rsidRPr="000F7FA5" w:rsidRDefault="00C50C11" w:rsidP="00C50C11">
            <w:pPr>
              <w:numPr>
                <w:ilvl w:val="0"/>
                <w:numId w:val="8"/>
              </w:numPr>
              <w:ind w:left="0" w:firstLine="316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0F7FA5">
              <w:rPr>
                <w:lang w:val="uk-UA"/>
              </w:rPr>
              <w:t>вебсайт</w:t>
            </w:r>
            <w:proofErr w:type="spellEnd"/>
            <w:r w:rsidRPr="000F7FA5">
              <w:rPr>
                <w:lang w:val="uk-UA"/>
              </w:rPr>
              <w:t xml:space="preserve"> Національного бюро);</w:t>
            </w:r>
          </w:p>
          <w:p w:rsidR="00C50C11" w:rsidRPr="000F7FA5" w:rsidRDefault="00C50C11" w:rsidP="00C50C11">
            <w:pPr>
              <w:numPr>
                <w:ilvl w:val="0"/>
                <w:numId w:val="8"/>
              </w:numPr>
              <w:ind w:left="0" w:firstLine="316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</w:t>
            </w:r>
            <w:r>
              <w:rPr>
                <w:lang w:val="uk-UA"/>
              </w:rPr>
              <w:t>ви.</w:t>
            </w:r>
          </w:p>
          <w:p w:rsidR="00C50C11" w:rsidRPr="000F7FA5" w:rsidRDefault="00C50C11" w:rsidP="00C50C1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C50C11" w:rsidRPr="000F7FA5" w:rsidRDefault="00C50C11" w:rsidP="00C50C1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Зразки заяв розміщені на офіційному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вебсайті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 </w:t>
            </w:r>
            <w:r>
              <w:rPr>
                <w:rFonts w:eastAsia="Segoe UI"/>
                <w:lang w:val="uk-UA"/>
              </w:rPr>
              <w:t>(</w:t>
            </w:r>
            <w:hyperlink r:id="rId8" w:history="1">
              <w:r>
                <w:rPr>
                  <w:rStyle w:val="a3"/>
                </w:rPr>
                <w:t>https://nabu.gov.ua/robota-v-nabu/pravila-priiomu/poryadok-provedennya-vidkrytogo-konkursu/</w:t>
              </w:r>
            </w:hyperlink>
            <w:r w:rsidRPr="000F7FA5">
              <w:rPr>
                <w:rFonts w:eastAsia="Segoe UI"/>
                <w:lang w:val="uk-UA"/>
              </w:rPr>
              <w:t xml:space="preserve">  (Порядок проведення відкритого конкурсу, розділ ІІІ).</w:t>
            </w:r>
          </w:p>
          <w:p w:rsidR="00C50C11" w:rsidRPr="000F7FA5" w:rsidRDefault="00C50C11" w:rsidP="00C50C1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C50C11" w:rsidRPr="000F7FA5" w:rsidRDefault="00C50C11" w:rsidP="00C50C1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C50C11" w:rsidRPr="000F7FA5" w:rsidRDefault="00C50C11" w:rsidP="00C50C1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C50C11" w:rsidRPr="000F7FA5" w:rsidRDefault="00C50C11" w:rsidP="00C50C1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До участі у конкурсі на зайняття посад осіб начальницького складу Національного бюро, згідно з пунктом 4.1. Порядку проведення відкритого </w:t>
            </w:r>
            <w:r>
              <w:rPr>
                <w:rFonts w:eastAsia="Segoe UI"/>
                <w:lang w:val="uk-UA"/>
              </w:rPr>
              <w:t>конкурсу, не допускаються особи,</w:t>
            </w:r>
            <w:r w:rsidRPr="000F7FA5">
              <w:rPr>
                <w:rFonts w:eastAsia="Segoe UI"/>
                <w:lang w:val="uk-UA"/>
              </w:rPr>
              <w:t xml:space="preserve">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</w:t>
            </w:r>
            <w:r>
              <w:rPr>
                <w:rFonts w:eastAsia="Segoe UI"/>
                <w:lang w:val="uk-UA"/>
              </w:rPr>
              <w:t>я; звільнення у відставку тощо)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  <w:shd w:val="clear" w:color="auto" w:fill="auto"/>
          </w:tcPr>
          <w:p w:rsidR="00427844" w:rsidRPr="00CB62BC" w:rsidRDefault="00FD69A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</w:t>
            </w:r>
            <w:r w:rsidR="00427844" w:rsidRPr="00CB62BC">
              <w:rPr>
                <w:caps/>
                <w:lang w:val="uk-UA"/>
              </w:rPr>
              <w:t>.3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Термін подання документів</w:t>
            </w:r>
          </w:p>
        </w:tc>
        <w:tc>
          <w:tcPr>
            <w:tcW w:w="5767" w:type="dxa"/>
            <w:vAlign w:val="center"/>
          </w:tcPr>
          <w:p w:rsidR="00427844" w:rsidRPr="00CB62BC" w:rsidRDefault="00CB62BC" w:rsidP="007C1627">
            <w:pPr>
              <w:jc w:val="both"/>
              <w:rPr>
                <w:sz w:val="10"/>
                <w:szCs w:val="10"/>
                <w:lang w:val="uk-UA"/>
              </w:rPr>
            </w:pPr>
            <w:r w:rsidRPr="00CB62BC">
              <w:rPr>
                <w:kern w:val="36"/>
                <w:lang w:val="uk-UA"/>
              </w:rPr>
              <w:t>Протягом 3</w:t>
            </w:r>
            <w:r w:rsidR="00427844" w:rsidRPr="00CB62BC">
              <w:rPr>
                <w:kern w:val="36"/>
                <w:lang w:val="uk-UA"/>
              </w:rPr>
              <w:t xml:space="preserve">0 календарних днів </w:t>
            </w:r>
            <w:r w:rsidR="00427844" w:rsidRPr="00CB62BC">
              <w:rPr>
                <w:lang w:val="uk-UA"/>
              </w:rPr>
              <w:t>з дня оприлюднення повідомлення про проведення конкурсу.</w:t>
            </w:r>
          </w:p>
        </w:tc>
      </w:tr>
      <w:tr w:rsidR="00427844" w:rsidRPr="00901D63" w:rsidTr="009E211B">
        <w:trPr>
          <w:trHeight w:val="20"/>
        </w:trPr>
        <w:tc>
          <w:tcPr>
            <w:tcW w:w="636" w:type="dxa"/>
            <w:shd w:val="clear" w:color="auto" w:fill="auto"/>
          </w:tcPr>
          <w:p w:rsidR="00427844" w:rsidRPr="00CB62BC" w:rsidRDefault="00FD69A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427844" w:rsidRPr="00CB62BC">
              <w:rPr>
                <w:caps/>
                <w:lang w:val="uk-UA"/>
              </w:rPr>
              <w:t>.4</w:t>
            </w:r>
          </w:p>
          <w:p w:rsidR="00427844" w:rsidRPr="00CB62BC" w:rsidRDefault="00427844" w:rsidP="007C1627">
            <w:pPr>
              <w:jc w:val="center"/>
              <w:rPr>
                <w:caps/>
                <w:lang w:val="uk-UA"/>
              </w:rPr>
            </w:pP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Прийом документів</w:t>
            </w:r>
          </w:p>
        </w:tc>
        <w:tc>
          <w:tcPr>
            <w:tcW w:w="5767" w:type="dxa"/>
          </w:tcPr>
          <w:p w:rsidR="00427844" w:rsidRPr="00CB62BC" w:rsidRDefault="00427844" w:rsidP="007C1627">
            <w:pPr>
              <w:jc w:val="both"/>
              <w:rPr>
                <w:rFonts w:eastAsia="Times New Roman"/>
                <w:szCs w:val="20"/>
                <w:lang w:val="uk-UA" w:eastAsia="uk-UA"/>
              </w:rPr>
            </w:pPr>
            <w:r w:rsidRPr="00CB62BC">
              <w:rPr>
                <w:rFonts w:eastAsia="Times New Roman"/>
                <w:szCs w:val="20"/>
                <w:lang w:val="uk-UA" w:eastAsia="uk-UA"/>
              </w:rPr>
              <w:t>За посиланням на веб-сайті Національного бюро</w:t>
            </w:r>
          </w:p>
          <w:p w:rsidR="00427844" w:rsidRPr="00CB62BC" w:rsidRDefault="00395F09" w:rsidP="007C1627">
            <w:pPr>
              <w:jc w:val="both"/>
              <w:rPr>
                <w:rFonts w:eastAsia="Times New Roman"/>
                <w:szCs w:val="20"/>
                <w:lang w:val="uk-UA" w:eastAsia="uk-UA"/>
              </w:rPr>
            </w:pPr>
            <w:hyperlink r:id="rId9" w:history="1">
              <w:r w:rsidR="00427844" w:rsidRPr="00CB62BC">
                <w:rPr>
                  <w:rStyle w:val="a3"/>
                  <w:rFonts w:eastAsia="Times New Roman"/>
                  <w:szCs w:val="20"/>
                  <w:lang w:val="uk-UA" w:eastAsia="uk-UA"/>
                </w:rPr>
                <w:t>https://nabu.gov.ua/robota-v-nabu/perelik-vakansiy/</w:t>
              </w:r>
            </w:hyperlink>
            <w:r w:rsidR="00427844" w:rsidRPr="00CB62BC">
              <w:rPr>
                <w:rFonts w:eastAsia="Times New Roman"/>
                <w:szCs w:val="20"/>
                <w:lang w:val="uk-UA" w:eastAsia="uk-UA"/>
              </w:rPr>
              <w:t>.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  <w:shd w:val="clear" w:color="auto" w:fill="auto"/>
          </w:tcPr>
          <w:p w:rsidR="00427844" w:rsidRPr="00CB62BC" w:rsidRDefault="00FD69A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427844" w:rsidRPr="00CB62BC">
              <w:rPr>
                <w:caps/>
                <w:lang w:val="uk-UA"/>
              </w:rPr>
              <w:t>.5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Контактні дані</w:t>
            </w:r>
          </w:p>
        </w:tc>
        <w:tc>
          <w:tcPr>
            <w:tcW w:w="5767" w:type="dxa"/>
          </w:tcPr>
          <w:p w:rsidR="00427844" w:rsidRPr="00CB62BC" w:rsidRDefault="00427844" w:rsidP="007C1627">
            <w:pPr>
              <w:jc w:val="both"/>
              <w:rPr>
                <w:lang w:val="uk-UA"/>
              </w:rPr>
            </w:pPr>
            <w:r w:rsidRPr="009D3108">
              <w:rPr>
                <w:bCs/>
                <w:lang w:val="uk-UA"/>
              </w:rPr>
              <w:t>E-mail:</w:t>
            </w:r>
            <w:r w:rsidRPr="00CB62BC">
              <w:rPr>
                <w:lang w:val="uk-UA"/>
              </w:rPr>
              <w:t> </w:t>
            </w:r>
            <w:hyperlink r:id="rId10" w:history="1">
              <w:r w:rsidRPr="00CB62BC">
                <w:rPr>
                  <w:rStyle w:val="a3"/>
                  <w:lang w:val="uk-UA"/>
                </w:rPr>
                <w:t>commission1@nabu.gov.ua</w:t>
              </w:r>
            </w:hyperlink>
          </w:p>
          <w:p w:rsidR="00427844" w:rsidRPr="00CB62BC" w:rsidRDefault="00427844" w:rsidP="007C1627">
            <w:pPr>
              <w:jc w:val="both"/>
              <w:rPr>
                <w:lang w:val="uk-UA"/>
              </w:rPr>
            </w:pPr>
            <w:r w:rsidRPr="00CB62BC">
              <w:rPr>
                <w:lang w:val="uk-UA"/>
              </w:rPr>
              <w:t>тел.: (044) 246-31-22</w:t>
            </w:r>
          </w:p>
        </w:tc>
      </w:tr>
      <w:tr w:rsidR="00427844" w:rsidRPr="00901D63" w:rsidTr="009E211B">
        <w:trPr>
          <w:trHeight w:val="20"/>
        </w:trPr>
        <w:tc>
          <w:tcPr>
            <w:tcW w:w="636" w:type="dxa"/>
            <w:shd w:val="clear" w:color="auto" w:fill="auto"/>
          </w:tcPr>
          <w:p w:rsidR="00427844" w:rsidRPr="00CB62BC" w:rsidRDefault="00FD69A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427844" w:rsidRPr="00CB62BC">
              <w:rPr>
                <w:caps/>
                <w:lang w:val="uk-UA"/>
              </w:rPr>
              <w:t>.6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Умови оплати праці</w:t>
            </w:r>
          </w:p>
        </w:tc>
        <w:tc>
          <w:tcPr>
            <w:tcW w:w="5767" w:type="dxa"/>
            <w:shd w:val="clear" w:color="auto" w:fill="auto"/>
          </w:tcPr>
          <w:p w:rsidR="00427844" w:rsidRPr="00CB62BC" w:rsidRDefault="00CB62BC" w:rsidP="003D5050">
            <w:pPr>
              <w:jc w:val="both"/>
              <w:rPr>
                <w:szCs w:val="20"/>
                <w:lang w:val="uk-UA" w:eastAsia="uk-UA"/>
              </w:rPr>
            </w:pPr>
            <w:r w:rsidRPr="00CB62BC">
              <w:rPr>
                <w:lang w:val="uk-UA" w:eastAsia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  <w:r w:rsidR="003D5050" w:rsidRPr="00CB62BC">
              <w:rPr>
                <w:szCs w:val="20"/>
                <w:lang w:val="uk-UA" w:eastAsia="uk-UA"/>
              </w:rPr>
              <w:t>*</w:t>
            </w:r>
          </w:p>
        </w:tc>
      </w:tr>
      <w:tr w:rsidR="00427844" w:rsidRPr="00CB62BC" w:rsidTr="009E211B">
        <w:trPr>
          <w:trHeight w:val="20"/>
        </w:trPr>
        <w:tc>
          <w:tcPr>
            <w:tcW w:w="636" w:type="dxa"/>
            <w:shd w:val="clear" w:color="auto" w:fill="auto"/>
          </w:tcPr>
          <w:p w:rsidR="00427844" w:rsidRPr="00CB62BC" w:rsidRDefault="00FD69A0" w:rsidP="007C1627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427844" w:rsidRPr="00CB62BC">
              <w:rPr>
                <w:caps/>
                <w:lang w:val="uk-UA"/>
              </w:rPr>
              <w:t>.7</w:t>
            </w:r>
          </w:p>
        </w:tc>
        <w:tc>
          <w:tcPr>
            <w:tcW w:w="3939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Місце проведення конкурсу</w:t>
            </w:r>
          </w:p>
        </w:tc>
        <w:tc>
          <w:tcPr>
            <w:tcW w:w="5767" w:type="dxa"/>
          </w:tcPr>
          <w:p w:rsidR="00427844" w:rsidRPr="00CB62BC" w:rsidRDefault="00427844" w:rsidP="007C1627">
            <w:pPr>
              <w:rPr>
                <w:lang w:val="uk-UA"/>
              </w:rPr>
            </w:pPr>
            <w:r w:rsidRPr="00CB62BC">
              <w:rPr>
                <w:lang w:val="uk-UA"/>
              </w:rPr>
              <w:t>03035, м. Київ, вул. Дениса Монастирського, 3 (адміністративна будівля Національного бюро)</w:t>
            </w:r>
          </w:p>
        </w:tc>
      </w:tr>
    </w:tbl>
    <w:p w:rsidR="00427844" w:rsidRPr="00CB62BC" w:rsidRDefault="00427844" w:rsidP="00427844">
      <w:pPr>
        <w:jc w:val="center"/>
        <w:rPr>
          <w:lang w:val="uk-UA"/>
        </w:rPr>
      </w:pPr>
      <w:r w:rsidRPr="00CB62BC">
        <w:rPr>
          <w:lang w:val="uk-UA"/>
        </w:rPr>
        <w:t xml:space="preserve"> </w:t>
      </w:r>
    </w:p>
    <w:p w:rsidR="008B0BF4" w:rsidRPr="00CB62BC" w:rsidRDefault="00427844" w:rsidP="001D45CB">
      <w:pPr>
        <w:ind w:firstLine="708"/>
        <w:jc w:val="both"/>
        <w:rPr>
          <w:lang w:val="uk-UA"/>
        </w:rPr>
      </w:pPr>
      <w:r w:rsidRPr="00CB62BC">
        <w:rPr>
          <w:lang w:val="uk-UA"/>
        </w:rPr>
        <w:t>*Посадові оклади працівників Національного бюро, які проходять стажування, встановлюються з понижуючим коефіцієнтом 1,5.</w:t>
      </w:r>
    </w:p>
    <w:sectPr w:rsidR="008B0BF4" w:rsidRPr="00CB62BC" w:rsidSect="009A0ABF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4F4A4E"/>
    <w:multiLevelType w:val="hybridMultilevel"/>
    <w:tmpl w:val="08AACEC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F2C31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C656392"/>
    <w:multiLevelType w:val="hybridMultilevel"/>
    <w:tmpl w:val="BBEE3916"/>
    <w:lvl w:ilvl="0" w:tplc="07E4F4C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933F4"/>
    <w:multiLevelType w:val="hybridMultilevel"/>
    <w:tmpl w:val="BBEE3916"/>
    <w:lvl w:ilvl="0" w:tplc="07E4F4C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EC06C6"/>
    <w:multiLevelType w:val="hybridMultilevel"/>
    <w:tmpl w:val="1E96C2CE"/>
    <w:lvl w:ilvl="0" w:tplc="E828D8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93"/>
    <w:rsid w:val="00001E93"/>
    <w:rsid w:val="001173D1"/>
    <w:rsid w:val="0017471B"/>
    <w:rsid w:val="001927AE"/>
    <w:rsid w:val="001D45CB"/>
    <w:rsid w:val="001F2C26"/>
    <w:rsid w:val="00254720"/>
    <w:rsid w:val="002611F7"/>
    <w:rsid w:val="00335110"/>
    <w:rsid w:val="003747D1"/>
    <w:rsid w:val="00395F09"/>
    <w:rsid w:val="003B60B7"/>
    <w:rsid w:val="003D3ECA"/>
    <w:rsid w:val="003D5050"/>
    <w:rsid w:val="0040588C"/>
    <w:rsid w:val="0042234F"/>
    <w:rsid w:val="00427844"/>
    <w:rsid w:val="00494BD2"/>
    <w:rsid w:val="004A35DD"/>
    <w:rsid w:val="004A5B6C"/>
    <w:rsid w:val="004D4A60"/>
    <w:rsid w:val="004F0360"/>
    <w:rsid w:val="00503B7F"/>
    <w:rsid w:val="0051127E"/>
    <w:rsid w:val="00604CF7"/>
    <w:rsid w:val="00667C66"/>
    <w:rsid w:val="00671D95"/>
    <w:rsid w:val="00672BD0"/>
    <w:rsid w:val="00722719"/>
    <w:rsid w:val="00731F0B"/>
    <w:rsid w:val="00820C83"/>
    <w:rsid w:val="00895D7A"/>
    <w:rsid w:val="008B0BF4"/>
    <w:rsid w:val="008D1DA3"/>
    <w:rsid w:val="00901D63"/>
    <w:rsid w:val="0097752D"/>
    <w:rsid w:val="009A0ABF"/>
    <w:rsid w:val="009C1C4B"/>
    <w:rsid w:val="009D3108"/>
    <w:rsid w:val="009E211B"/>
    <w:rsid w:val="009E4DDB"/>
    <w:rsid w:val="00A24649"/>
    <w:rsid w:val="00AB038A"/>
    <w:rsid w:val="00AC5159"/>
    <w:rsid w:val="00B60535"/>
    <w:rsid w:val="00C50C11"/>
    <w:rsid w:val="00C707B5"/>
    <w:rsid w:val="00CB62BC"/>
    <w:rsid w:val="00CE4148"/>
    <w:rsid w:val="00D8547B"/>
    <w:rsid w:val="00D85612"/>
    <w:rsid w:val="00D952F8"/>
    <w:rsid w:val="00DA43F5"/>
    <w:rsid w:val="00DC04CA"/>
    <w:rsid w:val="00DD16F4"/>
    <w:rsid w:val="00DD6054"/>
    <w:rsid w:val="00E44EED"/>
    <w:rsid w:val="00E6098A"/>
    <w:rsid w:val="00E82AA3"/>
    <w:rsid w:val="00EB59B8"/>
    <w:rsid w:val="00EE09F8"/>
    <w:rsid w:val="00F0118F"/>
    <w:rsid w:val="00F04BD2"/>
    <w:rsid w:val="00F176AD"/>
    <w:rsid w:val="00FD265F"/>
    <w:rsid w:val="00FD5E2A"/>
    <w:rsid w:val="00FD69A0"/>
    <w:rsid w:val="00FE1F98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B205"/>
  <w15:chartTrackingRefBased/>
  <w15:docId w15:val="{BA309731-5995-41FD-9D3F-68966FD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rsid w:val="00427844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uiPriority w:val="99"/>
    <w:unhideWhenUsed/>
    <w:rsid w:val="00427844"/>
    <w:rPr>
      <w:color w:val="0000FF"/>
      <w:u w:val="single"/>
    </w:rPr>
  </w:style>
  <w:style w:type="paragraph" w:customStyle="1" w:styleId="2">
    <w:name w:val="Стиль таблицы 2"/>
    <w:rsid w:val="00427844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20">
    <w:name w:val="Абзац списку2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customStyle="1" w:styleId="rvts0">
    <w:name w:val="rvts0"/>
    <w:rsid w:val="00427844"/>
  </w:style>
  <w:style w:type="paragraph" w:styleId="a4">
    <w:name w:val="List Paragraph"/>
    <w:basedOn w:val="a"/>
    <w:uiPriority w:val="34"/>
    <w:qFormat/>
    <w:rsid w:val="00427844"/>
    <w:pPr>
      <w:ind w:left="720"/>
      <w:contextualSpacing/>
    </w:pPr>
  </w:style>
  <w:style w:type="paragraph" w:customStyle="1" w:styleId="10">
    <w:name w:val="Звичайний1"/>
    <w:qFormat/>
    <w:rsid w:val="004278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uk-UA"/>
    </w:rPr>
  </w:style>
  <w:style w:type="paragraph" w:customStyle="1" w:styleId="21">
    <w:name w:val="Середня сітка 21"/>
    <w:uiPriority w:val="1"/>
    <w:qFormat/>
    <w:rsid w:val="0042784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2">
    <w:name w:val="rvps2"/>
    <w:basedOn w:val="a"/>
    <w:uiPriority w:val="99"/>
    <w:rsid w:val="00CB62BC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5">
    <w:name w:val="Strong"/>
    <w:basedOn w:val="a0"/>
    <w:uiPriority w:val="22"/>
    <w:qFormat/>
    <w:rsid w:val="0040588C"/>
    <w:rPr>
      <w:b/>
      <w:bCs/>
    </w:rPr>
  </w:style>
  <w:style w:type="paragraph" w:customStyle="1" w:styleId="rvps14">
    <w:name w:val="rvps14"/>
    <w:basedOn w:val="a"/>
    <w:rsid w:val="00E44EED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uk-ua/microsoft-365/wor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crosoft.com/uk-ua/microsoft-365/word" TargetMode="Externa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8153</Words>
  <Characters>4648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Ілля Анатолійович</dc:creator>
  <cp:keywords/>
  <dc:description/>
  <cp:lastModifiedBy>Михайлова Ольга Юріївна</cp:lastModifiedBy>
  <cp:revision>57</cp:revision>
  <dcterms:created xsi:type="dcterms:W3CDTF">2025-07-11T11:42:00Z</dcterms:created>
  <dcterms:modified xsi:type="dcterms:W3CDTF">2026-02-11T14:36:00Z</dcterms:modified>
</cp:coreProperties>
</file>